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山梨酸及其钾盐</w:t>
      </w:r>
    </w:p>
    <w:p>
      <w:pPr>
        <w:pStyle w:val="8"/>
        <w:adjustRightInd w:val="0"/>
        <w:snapToGrid w:val="0"/>
        <w:spacing w:line="58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</w:t>
      </w:r>
      <w:r>
        <w:rPr>
          <w:rFonts w:hint="eastAsia" w:eastAsia="仿宋_GB2312"/>
          <w:color w:val="000000"/>
          <w:sz w:val="32"/>
          <w:szCs w:val="32"/>
        </w:rPr>
        <w:t>未规定腐竹类(包括腐竹、油皮等)</w:t>
      </w:r>
      <w:r>
        <w:rPr>
          <w:rFonts w:hint="eastAsia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豆制品中允许使用山梨酸及其钾盐，即表明不得使用山梨酸及其钾盐。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8"/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酸价，又称酸值，主要反映食品中的油脂酸败程度。酸价超标会导致食品有哈喇味，超标严重时所产生的醛、酮、酸会破坏脂溶性维生素，导致肠胃不适。</w:t>
      </w:r>
      <w:r>
        <w:rPr>
          <w:rFonts w:hint="eastAsia" w:eastAsia="仿宋_GB2312"/>
          <w:bCs/>
          <w:sz w:val="32"/>
          <w:szCs w:val="32"/>
        </w:rPr>
        <w:t>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糕点、面包》（</w:t>
      </w:r>
      <w:r>
        <w:rPr>
          <w:rFonts w:eastAsia="仿宋_GB2312"/>
          <w:bCs/>
          <w:sz w:val="32"/>
          <w:szCs w:val="32"/>
        </w:rPr>
        <w:t>GB 7099</w:t>
      </w:r>
      <w:r>
        <w:rPr>
          <w:rFonts w:hint="eastAsia" w:eastAsia="仿宋_GB2312"/>
          <w:bCs/>
          <w:sz w:val="32"/>
          <w:szCs w:val="32"/>
        </w:rPr>
        <w:t>）中规定，糕点中的酸价（以脂肪计）（</w:t>
      </w:r>
      <w:r>
        <w:rPr>
          <w:rFonts w:eastAsia="仿宋_GB2312"/>
          <w:bCs/>
          <w:sz w:val="32"/>
          <w:szCs w:val="32"/>
        </w:rPr>
        <w:t>KOH</w:t>
      </w:r>
      <w:r>
        <w:rPr>
          <w:rFonts w:hint="eastAsia" w:eastAsia="仿宋_GB2312"/>
          <w:bCs/>
          <w:sz w:val="32"/>
          <w:szCs w:val="32"/>
        </w:rPr>
        <w:t>）应不超过</w:t>
      </w:r>
      <w:r>
        <w:rPr>
          <w:rFonts w:eastAsia="仿宋_GB2312"/>
          <w:bCs/>
          <w:sz w:val="32"/>
          <w:szCs w:val="32"/>
        </w:rPr>
        <w:t>5 mg/g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甜蜜素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甜蜜素是一种常用甜味剂，其甜度是蔗糖的</w:t>
      </w:r>
      <w:r>
        <w:rPr>
          <w:rFonts w:ascii="Times New Roman" w:hAnsi="Times New Roman" w:eastAsia="仿宋_GB2312"/>
          <w:color w:val="000000"/>
          <w:sz w:val="32"/>
          <w:szCs w:val="32"/>
        </w:rPr>
        <w:t>30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～</w:t>
      </w:r>
      <w:r>
        <w:rPr>
          <w:rFonts w:ascii="Times New Roman" w:hAnsi="Times New Roman" w:eastAsia="仿宋_GB2312"/>
          <w:color w:val="000000"/>
          <w:sz w:val="32"/>
          <w:szCs w:val="32"/>
        </w:rPr>
        <w:t>40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倍。作为非营养型甜味剂，可广泛用于面包、糕点、饮料、配制酒及蜜饯等食品中。《食品安全国家标准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）规定糕点中甜蜜素（以环己基氨基磺酸计）的最大使用量为1.6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60" w:lineRule="exact"/>
        <w:ind w:left="0"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不挥发酸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333333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不挥发酸是食醋中总酸的一种，以乳酸为主。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不挥发酸的含量不足在一定程度上会影响食醋的口感和风味。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《酿造食醋》（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GB/T 18187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）规定，固态发酵食醋中的不挥发酸（以乳酸计）应不少于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0.50g/100mL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苄基腺嘌呤（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6-BA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）</w:t>
      </w:r>
    </w:p>
    <w:p>
      <w:pPr>
        <w:pStyle w:val="14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6-BA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苄基腺嘌呤等物质的公告》（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号）规定豆芽生产经营过程中禁止使用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阿维菌素</w:t>
      </w:r>
    </w:p>
    <w:p>
      <w:pPr>
        <w:pStyle w:val="14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阿维菌素是由放线菌产生的一组大环内酯类抗生素，为淡黄色至白色结晶粉末，无味，是一种杀虫、杀螨剂，广泛用于蔬菜、果树、棉花等农作物上，也可作为兽药使用。《食品安全国家标准 食品中农药最大残留限量》（GB 2763）规定油麦菜中最大残留限量为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05 mg /kg。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食品安全国家标准 消毒餐（饮）具》（GB 14934）规定消毒餐（饮）具中大肠菌群不得检出。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孔雀石绿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</w:t>
      </w:r>
      <w:r>
        <w:rPr>
          <w:rFonts w:hint="eastAsia" w:eastAsia="仿宋_GB2312" w:cs="Arial"/>
          <w:sz w:val="32"/>
          <w:szCs w:val="32"/>
        </w:rPr>
        <w:t>《食品动物中禁止使用的药品及其他化合物清单》（农业农村部公告第250号），明确规定食品动物禁止使用孔雀石绿。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污染的食物主要有花生、玉米、稻谷、小麦、花生油等，特别是花生、核桃等坚果与籽类食品。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食品中真菌毒素限量》（</w:t>
      </w:r>
      <w:r>
        <w:rPr>
          <w:rFonts w:eastAsia="仿宋_GB2312" w:cs="仿宋"/>
          <w:color w:val="000000"/>
          <w:sz w:val="32"/>
          <w:szCs w:val="32"/>
        </w:rPr>
        <w:t>GB 2761</w:t>
      </w:r>
      <w:r>
        <w:rPr>
          <w:rFonts w:hint="eastAsia" w:eastAsia="仿宋_GB2312" w:cs="仿宋"/>
          <w:color w:val="000000"/>
          <w:sz w:val="32"/>
          <w:szCs w:val="32"/>
        </w:rPr>
        <w:t>）规定，花生及其制品中黄曲霉毒素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的最大限量为</w:t>
      </w:r>
      <w:r>
        <w:rPr>
          <w:rFonts w:eastAsia="仿宋_GB2312" w:cs="仿宋"/>
          <w:color w:val="000000"/>
          <w:sz w:val="32"/>
          <w:szCs w:val="32"/>
        </w:rPr>
        <w:t>20</w:t>
      </w:r>
      <w:r>
        <w:rPr>
          <w:rFonts w:hint="eastAsia" w:eastAsia="仿宋_GB2312" w:cs="仿宋"/>
          <w:color w:val="000000"/>
          <w:sz w:val="32"/>
          <w:szCs w:val="32"/>
        </w:rPr>
        <w:t>μ</w:t>
      </w:r>
      <w:r>
        <w:rPr>
          <w:rFonts w:eastAsia="仿宋_GB2312" w:cs="仿宋"/>
          <w:color w:val="000000"/>
          <w:sz w:val="32"/>
          <w:szCs w:val="32"/>
        </w:rPr>
        <w:t>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地方标准 柳州螺蛳粉》（</w:t>
      </w:r>
      <w:r>
        <w:rPr>
          <w:rFonts w:ascii="Times New Roman" w:hAnsi="Times New Roman" w:eastAsia="仿宋_GB2312"/>
          <w:sz w:val="32"/>
          <w:szCs w:val="32"/>
        </w:rPr>
        <w:t>DBS 45/034</w:t>
      </w:r>
      <w:r>
        <w:rPr>
          <w:rFonts w:hint="eastAsia" w:ascii="Times New Roman" w:hAnsi="Times New Roman" w:eastAsia="仿宋_GB2312"/>
          <w:sz w:val="32"/>
          <w:szCs w:val="32"/>
        </w:rPr>
        <w:t>）规定产品中的霉菌应不超过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CFU/g。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钠</w:t>
      </w:r>
      <w:r>
        <w:rPr>
          <w:rFonts w:hint="eastAsia" w:ascii="Times New Roman" w:hAnsi="Times New Roman" w:eastAsia="仿宋_GB2312"/>
          <w:sz w:val="32"/>
          <w:szCs w:val="24"/>
        </w:rPr>
        <w:t>是人体必需的常量元素之一，是保证机体水份平衡的重要物质。膳食中长期摄入过多的钠可能增加心血管疾病风险。《食品安全国家标准 预包装食品营养标签通则》（GB 28050）规定食品中的钠含量不得高于标签明示值的120%。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5685767">
    <w:nsid w:val="2C724307"/>
    <w:multiLevelType w:val="multilevel"/>
    <w:tmpl w:val="2C724307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456857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Z2G3YvgML58nMVHRvKsj6SK76XM=" w:salt="pmPLK8RmvcR57tYNBS+ig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45988"/>
    <w:rsid w:val="00060A1E"/>
    <w:rsid w:val="00060A49"/>
    <w:rsid w:val="0006564C"/>
    <w:rsid w:val="00070113"/>
    <w:rsid w:val="000721BA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1B3E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01E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7976"/>
    <w:rsid w:val="00241109"/>
    <w:rsid w:val="0024276D"/>
    <w:rsid w:val="002448DC"/>
    <w:rsid w:val="002524A1"/>
    <w:rsid w:val="0025266C"/>
    <w:rsid w:val="002576C9"/>
    <w:rsid w:val="002631B2"/>
    <w:rsid w:val="00266CA0"/>
    <w:rsid w:val="0027015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4386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2B50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16FF0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3DBD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5B2F"/>
    <w:rsid w:val="0063787C"/>
    <w:rsid w:val="0063790E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86AA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27E9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03A0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3B67"/>
    <w:rsid w:val="008956BC"/>
    <w:rsid w:val="00897142"/>
    <w:rsid w:val="008A2085"/>
    <w:rsid w:val="008A510D"/>
    <w:rsid w:val="008A6B65"/>
    <w:rsid w:val="008B1118"/>
    <w:rsid w:val="008B7FB2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47CB8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75E2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16BD3"/>
    <w:rsid w:val="00A24642"/>
    <w:rsid w:val="00A257F3"/>
    <w:rsid w:val="00A25E3E"/>
    <w:rsid w:val="00A268B2"/>
    <w:rsid w:val="00A317E5"/>
    <w:rsid w:val="00A31C9C"/>
    <w:rsid w:val="00A34908"/>
    <w:rsid w:val="00A35505"/>
    <w:rsid w:val="00A40CD4"/>
    <w:rsid w:val="00A41907"/>
    <w:rsid w:val="00A42C7B"/>
    <w:rsid w:val="00A44972"/>
    <w:rsid w:val="00A47D5F"/>
    <w:rsid w:val="00A526A3"/>
    <w:rsid w:val="00A6442C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46D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129F2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0509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A6225"/>
    <w:rsid w:val="00EB0D7B"/>
    <w:rsid w:val="00EB2644"/>
    <w:rsid w:val="00EB31D6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33915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0A51673"/>
    <w:rsid w:val="113D0687"/>
    <w:rsid w:val="12215158"/>
    <w:rsid w:val="12E416EB"/>
    <w:rsid w:val="148F6D68"/>
    <w:rsid w:val="15320B1A"/>
    <w:rsid w:val="16B92CCA"/>
    <w:rsid w:val="17D91489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442156A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4502561"/>
    <w:rsid w:val="45776CA3"/>
    <w:rsid w:val="48970C61"/>
    <w:rsid w:val="49643738"/>
    <w:rsid w:val="4ABB422A"/>
    <w:rsid w:val="4B3854D9"/>
    <w:rsid w:val="4CA466FA"/>
    <w:rsid w:val="4ECE6222"/>
    <w:rsid w:val="4F2101A3"/>
    <w:rsid w:val="4FB63332"/>
    <w:rsid w:val="50F37181"/>
    <w:rsid w:val="510612FC"/>
    <w:rsid w:val="514C7C9E"/>
    <w:rsid w:val="54F742B5"/>
    <w:rsid w:val="555743EB"/>
    <w:rsid w:val="556278BC"/>
    <w:rsid w:val="55C36911"/>
    <w:rsid w:val="578A4C11"/>
    <w:rsid w:val="58054B0A"/>
    <w:rsid w:val="587B0306"/>
    <w:rsid w:val="58F44FE1"/>
    <w:rsid w:val="5A1412AA"/>
    <w:rsid w:val="5B8039E8"/>
    <w:rsid w:val="5D421A5F"/>
    <w:rsid w:val="5D8A0D6F"/>
    <w:rsid w:val="5E6B2F29"/>
    <w:rsid w:val="5F9C225E"/>
    <w:rsid w:val="5FDA7DCD"/>
    <w:rsid w:val="60F04EEB"/>
    <w:rsid w:val="613C41A8"/>
    <w:rsid w:val="61B04824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50831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8">
    <w:name w:val="apple-converted-space"/>
    <w:basedOn w:val="9"/>
    <w:qFormat/>
    <w:uiPriority w:val="0"/>
    <w:rPr/>
  </w:style>
  <w:style w:type="character" w:customStyle="1" w:styleId="19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285</Words>
  <Characters>1626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2021-11-12T08:36:17Z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