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themeFill="background1"/>
        <w:spacing w:line="600" w:lineRule="exact"/>
        <w:jc w:val="center"/>
        <w:rPr>
          <w:rFonts w:ascii="方正小标宋简体" w:hAnsi="仿宋" w:eastAsia="方正小标宋简体"/>
          <w:color w:val="auto"/>
          <w:sz w:val="44"/>
          <w:szCs w:val="44"/>
        </w:rPr>
      </w:pPr>
    </w:p>
    <w:p>
      <w:pPr>
        <w:shd w:val="clear" w:color="auto" w:fill="FFFFFF" w:themeFill="background1"/>
        <w:spacing w:line="600" w:lineRule="exact"/>
        <w:jc w:val="center"/>
        <w:rPr>
          <w:rFonts w:ascii="方正小标宋简体" w:hAnsi="仿宋" w:eastAsia="方正小标宋简体"/>
          <w:color w:val="auto"/>
          <w:sz w:val="44"/>
          <w:szCs w:val="44"/>
        </w:rPr>
      </w:pPr>
    </w:p>
    <w:p>
      <w:pPr>
        <w:shd w:val="clear" w:color="auto" w:fill="FFFFFF" w:themeFill="background1"/>
        <w:spacing w:line="600" w:lineRule="exact"/>
        <w:jc w:val="center"/>
        <w:rPr>
          <w:rFonts w:ascii="方正小标宋简体" w:hAnsi="仿宋" w:eastAsia="方正小标宋简体"/>
          <w:color w:val="auto"/>
          <w:sz w:val="44"/>
          <w:szCs w:val="44"/>
        </w:rPr>
      </w:pPr>
      <w:r>
        <w:rPr>
          <w:rFonts w:hint="eastAsia" w:ascii="方正小标宋简体" w:hAnsi="仿宋" w:eastAsia="方正小标宋简体"/>
          <w:color w:val="auto"/>
          <w:sz w:val="44"/>
          <w:szCs w:val="44"/>
        </w:rPr>
        <w:t>食品生产许可审查通则（2021版）</w:t>
      </w:r>
    </w:p>
    <w:p>
      <w:pPr>
        <w:shd w:val="clear" w:color="auto" w:fill="FFFFFF" w:themeFill="background1"/>
        <w:spacing w:line="600" w:lineRule="exact"/>
        <w:jc w:val="center"/>
        <w:rPr>
          <w:rFonts w:ascii="仿宋" w:hAnsi="仿宋" w:eastAsia="仿宋"/>
          <w:color w:val="auto"/>
          <w:sz w:val="32"/>
          <w:szCs w:val="32"/>
        </w:rPr>
      </w:pPr>
      <w:r>
        <w:rPr>
          <w:rFonts w:hint="eastAsia" w:ascii="仿宋" w:hAnsi="仿宋" w:eastAsia="仿宋"/>
          <w:color w:val="auto"/>
          <w:sz w:val="32"/>
          <w:szCs w:val="32"/>
        </w:rPr>
        <w:t>（征求意见稿）</w:t>
      </w:r>
    </w:p>
    <w:p>
      <w:pPr>
        <w:shd w:val="clear" w:color="auto" w:fill="FFFFFF" w:themeFill="background1"/>
        <w:spacing w:line="600" w:lineRule="exact"/>
        <w:jc w:val="center"/>
        <w:rPr>
          <w:rFonts w:ascii="仿宋" w:hAnsi="仿宋" w:eastAsia="仿宋"/>
          <w:color w:val="auto"/>
          <w:sz w:val="32"/>
          <w:szCs w:val="32"/>
        </w:rPr>
      </w:pPr>
    </w:p>
    <w:p>
      <w:pPr>
        <w:pStyle w:val="2"/>
        <w:shd w:val="clear" w:color="auto" w:fill="FFFFFF" w:themeFill="background1"/>
        <w:spacing w:before="240" w:beforeLines="100" w:after="240" w:afterLines="100" w:line="240" w:lineRule="auto"/>
        <w:jc w:val="center"/>
        <w:rPr>
          <w:rFonts w:ascii="楷体" w:hAnsi="楷体" w:eastAsia="楷体" w:cs="方正楷体简体"/>
          <w:color w:val="auto"/>
          <w:sz w:val="36"/>
          <w:szCs w:val="20"/>
        </w:rPr>
      </w:pPr>
      <w:r>
        <w:rPr>
          <w:rFonts w:hint="eastAsia" w:ascii="楷体" w:hAnsi="楷体" w:eastAsia="楷体" w:cs="方正楷体简体"/>
          <w:color w:val="auto"/>
          <w:sz w:val="36"/>
          <w:szCs w:val="20"/>
        </w:rPr>
        <w:t>第一章</w:t>
      </w:r>
      <w:r>
        <w:rPr>
          <w:rFonts w:ascii="楷体" w:hAnsi="楷体" w:eastAsia="楷体" w:cs="方正楷体简体"/>
          <w:color w:val="auto"/>
          <w:sz w:val="36"/>
          <w:szCs w:val="20"/>
        </w:rPr>
        <w:t xml:space="preserve"> </w:t>
      </w:r>
      <w:r>
        <w:rPr>
          <w:rFonts w:hint="eastAsia" w:ascii="楷体" w:hAnsi="楷体" w:eastAsia="楷体" w:cs="方正楷体简体"/>
          <w:color w:val="auto"/>
          <w:sz w:val="36"/>
          <w:szCs w:val="20"/>
        </w:rPr>
        <w:t>总</w:t>
      </w:r>
      <w:r>
        <w:rPr>
          <w:rFonts w:ascii="楷体" w:hAnsi="楷体" w:eastAsia="楷体" w:cs="方正楷体简体"/>
          <w:color w:val="auto"/>
          <w:sz w:val="36"/>
          <w:szCs w:val="20"/>
        </w:rPr>
        <w:t xml:space="preserve"> </w:t>
      </w:r>
      <w:r>
        <w:rPr>
          <w:rFonts w:hint="eastAsia" w:ascii="楷体" w:hAnsi="楷体" w:eastAsia="楷体" w:cs="方正楷体简体"/>
          <w:color w:val="auto"/>
          <w:sz w:val="36"/>
          <w:szCs w:val="20"/>
        </w:rPr>
        <w:t>则</w:t>
      </w:r>
    </w:p>
    <w:p>
      <w:pPr>
        <w:shd w:val="clear" w:color="auto" w:fill="FFFFFF" w:themeFill="background1"/>
        <w:spacing w:line="600" w:lineRule="exact"/>
        <w:ind w:firstLine="642" w:firstLineChars="200"/>
        <w:rPr>
          <w:rFonts w:ascii="仿宋" w:hAnsi="仿宋" w:eastAsia="仿宋"/>
          <w:color w:val="auto"/>
          <w:sz w:val="32"/>
          <w:szCs w:val="32"/>
        </w:rPr>
      </w:pPr>
      <w:r>
        <w:rPr>
          <w:rFonts w:hint="eastAsia" w:ascii="仿宋" w:hAnsi="仿宋" w:eastAsia="黑体"/>
          <w:b/>
          <w:color w:val="auto"/>
          <w:sz w:val="32"/>
          <w:szCs w:val="32"/>
        </w:rPr>
        <w:t>第一条</w:t>
      </w:r>
      <w:r>
        <w:rPr>
          <w:rFonts w:hint="eastAsia" w:ascii="仿宋" w:hAnsi="仿宋" w:eastAsia="仿宋"/>
          <w:color w:val="auto"/>
          <w:sz w:val="32"/>
          <w:szCs w:val="32"/>
        </w:rPr>
        <w:t xml:space="preserve">  为加强食品、食品添加剂（以下统称为食品）生产许可管理，规范食品生产许可审查工作，依据《中华人民共和国食品安全法》《中华人民共和国食品安全法实施条例》《食品生产许可管理办法》（以下简称为《办法》）等有关法律法规、规章和食品安全国家标准，制定本通则。</w:t>
      </w:r>
    </w:p>
    <w:p>
      <w:pPr>
        <w:shd w:val="clear" w:color="auto" w:fill="FFFFFF" w:themeFill="background1"/>
        <w:spacing w:line="600" w:lineRule="exact"/>
        <w:ind w:firstLine="642" w:firstLineChars="200"/>
        <w:rPr>
          <w:rFonts w:ascii="仿宋" w:hAnsi="仿宋" w:eastAsia="仿宋"/>
          <w:color w:val="auto"/>
          <w:sz w:val="32"/>
          <w:szCs w:val="32"/>
        </w:rPr>
      </w:pPr>
      <w:r>
        <w:rPr>
          <w:rFonts w:hint="eastAsia" w:ascii="仿宋" w:hAnsi="仿宋" w:eastAsia="黑体"/>
          <w:b/>
          <w:color w:val="auto"/>
          <w:sz w:val="32"/>
          <w:szCs w:val="32"/>
        </w:rPr>
        <w:t>第二条</w:t>
      </w:r>
      <w:r>
        <w:rPr>
          <w:rFonts w:hint="eastAsia" w:ascii="仿宋" w:hAnsi="仿宋" w:eastAsia="仿宋"/>
          <w:color w:val="auto"/>
          <w:sz w:val="32"/>
          <w:szCs w:val="32"/>
        </w:rPr>
        <w:t xml:space="preserve">  本通则适用于市场</w:t>
      </w:r>
      <w:r>
        <w:rPr>
          <w:rFonts w:ascii="仿宋" w:hAnsi="仿宋" w:eastAsia="仿宋"/>
          <w:color w:val="auto"/>
          <w:sz w:val="32"/>
          <w:szCs w:val="32"/>
        </w:rPr>
        <w:t>监督管理部门</w:t>
      </w:r>
      <w:r>
        <w:rPr>
          <w:rFonts w:hint="eastAsia" w:ascii="仿宋" w:hAnsi="仿宋" w:eastAsia="仿宋"/>
          <w:color w:val="auto"/>
          <w:sz w:val="32"/>
          <w:szCs w:val="32"/>
        </w:rPr>
        <w:t>组织</w:t>
      </w:r>
      <w:r>
        <w:rPr>
          <w:rFonts w:ascii="仿宋" w:hAnsi="仿宋" w:eastAsia="仿宋"/>
          <w:color w:val="auto"/>
          <w:sz w:val="32"/>
          <w:szCs w:val="32"/>
        </w:rPr>
        <w:t>对</w:t>
      </w:r>
      <w:r>
        <w:rPr>
          <w:rFonts w:hint="eastAsia" w:ascii="仿宋" w:hAnsi="仿宋" w:eastAsia="仿宋"/>
          <w:color w:val="auto"/>
          <w:sz w:val="32"/>
          <w:szCs w:val="32"/>
        </w:rPr>
        <w:t>申请人申请食品生产许可以及</w:t>
      </w:r>
      <w:r>
        <w:rPr>
          <w:rFonts w:ascii="仿宋" w:hAnsi="仿宋" w:eastAsia="仿宋"/>
          <w:color w:val="auto"/>
          <w:sz w:val="32"/>
          <w:szCs w:val="32"/>
        </w:rPr>
        <w:t>许可</w:t>
      </w:r>
      <w:r>
        <w:rPr>
          <w:rFonts w:hint="eastAsia" w:ascii="仿宋" w:hAnsi="仿宋" w:eastAsia="仿宋"/>
          <w:color w:val="auto"/>
          <w:sz w:val="32"/>
          <w:szCs w:val="32"/>
        </w:rPr>
        <w:t>变更</w:t>
      </w:r>
      <w:r>
        <w:rPr>
          <w:rFonts w:ascii="仿宋" w:hAnsi="仿宋" w:eastAsia="仿宋"/>
          <w:color w:val="auto"/>
          <w:sz w:val="32"/>
          <w:szCs w:val="32"/>
        </w:rPr>
        <w:t>、</w:t>
      </w:r>
      <w:r>
        <w:rPr>
          <w:rFonts w:hint="eastAsia" w:ascii="仿宋" w:hAnsi="仿宋" w:eastAsia="仿宋"/>
          <w:color w:val="auto"/>
          <w:sz w:val="32"/>
          <w:szCs w:val="32"/>
        </w:rPr>
        <w:t>延续等的审查工作</w:t>
      </w:r>
      <w:r>
        <w:rPr>
          <w:rFonts w:ascii="仿宋" w:hAnsi="仿宋" w:eastAsia="仿宋"/>
          <w:color w:val="auto"/>
          <w:sz w:val="32"/>
          <w:szCs w:val="32"/>
        </w:rPr>
        <w:t>。</w:t>
      </w:r>
    </w:p>
    <w:p>
      <w:pPr>
        <w:shd w:val="clear" w:color="auto" w:fill="FFFFFF" w:themeFill="background1"/>
        <w:spacing w:line="600" w:lineRule="exact"/>
        <w:ind w:firstLine="642" w:firstLineChars="200"/>
        <w:rPr>
          <w:rFonts w:ascii="仿宋" w:hAnsi="仿宋" w:eastAsia="仿宋"/>
          <w:color w:val="auto"/>
          <w:sz w:val="32"/>
          <w:szCs w:val="32"/>
        </w:rPr>
      </w:pPr>
      <w:r>
        <w:rPr>
          <w:rFonts w:hint="eastAsia" w:ascii="仿宋" w:hAnsi="仿宋" w:eastAsia="黑体"/>
          <w:b/>
          <w:color w:val="auto"/>
          <w:sz w:val="32"/>
          <w:szCs w:val="32"/>
        </w:rPr>
        <w:t>第三条</w:t>
      </w:r>
      <w:r>
        <w:rPr>
          <w:rFonts w:hint="eastAsia" w:ascii="仿宋" w:hAnsi="仿宋" w:eastAsia="仿宋"/>
          <w:color w:val="auto"/>
          <w:sz w:val="32"/>
          <w:szCs w:val="32"/>
        </w:rPr>
        <w:t xml:space="preserve">  食品生产许可审查包括申请材料审查和现场核查。</w:t>
      </w:r>
    </w:p>
    <w:p>
      <w:pPr>
        <w:shd w:val="clear" w:color="auto" w:fill="FFFFFF" w:themeFill="background1"/>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申请材料审查应当以申请材料的完整性、规范性、合规性为审查内容；现场核查应当以申请材料与实际状况的一致性、生产</w:t>
      </w:r>
      <w:r>
        <w:rPr>
          <w:rFonts w:ascii="仿宋" w:hAnsi="仿宋" w:eastAsia="仿宋"/>
          <w:color w:val="auto"/>
          <w:sz w:val="32"/>
          <w:szCs w:val="32"/>
        </w:rPr>
        <w:t>条件的</w:t>
      </w:r>
      <w:r>
        <w:rPr>
          <w:rFonts w:hint="eastAsia" w:ascii="仿宋" w:hAnsi="仿宋" w:eastAsia="仿宋"/>
          <w:color w:val="auto"/>
          <w:sz w:val="32"/>
          <w:szCs w:val="32"/>
        </w:rPr>
        <w:t>合规性为主要审查内容。</w:t>
      </w:r>
    </w:p>
    <w:p>
      <w:pPr>
        <w:shd w:val="clear" w:color="auto" w:fill="FFFFFF" w:themeFill="background1"/>
        <w:spacing w:line="600" w:lineRule="exact"/>
        <w:ind w:firstLine="642" w:firstLineChars="200"/>
        <w:rPr>
          <w:rFonts w:ascii="仿宋" w:hAnsi="仿宋" w:eastAsia="仿宋"/>
          <w:color w:val="auto"/>
          <w:sz w:val="32"/>
          <w:szCs w:val="32"/>
        </w:rPr>
      </w:pPr>
      <w:r>
        <w:rPr>
          <w:rFonts w:hint="eastAsia" w:ascii="仿宋" w:hAnsi="仿宋" w:eastAsia="黑体"/>
          <w:b/>
          <w:color w:val="auto"/>
          <w:sz w:val="32"/>
          <w:szCs w:val="32"/>
        </w:rPr>
        <w:t>第四条</w:t>
      </w:r>
      <w:r>
        <w:rPr>
          <w:rFonts w:hint="eastAsia" w:ascii="仿宋" w:hAnsi="仿宋" w:eastAsia="仿宋"/>
          <w:color w:val="auto"/>
          <w:sz w:val="32"/>
          <w:szCs w:val="32"/>
        </w:rPr>
        <w:t xml:space="preserve">  本通则应当与相应的食品生产许可审查细则（以下简称审查细则）结合使用。使用地方特色食品生产许可审查细则开展生产许可审查的，应当符合《办法》</w:t>
      </w:r>
      <w:r>
        <w:rPr>
          <w:rFonts w:hint="eastAsia" w:ascii="仿宋" w:hAnsi="仿宋" w:eastAsia="仿宋"/>
          <w:b/>
          <w:color w:val="auto"/>
          <w:sz w:val="32"/>
          <w:szCs w:val="32"/>
        </w:rPr>
        <w:t>第八条</w:t>
      </w:r>
      <w:r>
        <w:rPr>
          <w:rFonts w:hint="eastAsia" w:ascii="仿宋" w:hAnsi="仿宋" w:eastAsia="仿宋"/>
          <w:color w:val="auto"/>
          <w:sz w:val="32"/>
          <w:szCs w:val="32"/>
        </w:rPr>
        <w:t>的规定。</w:t>
      </w:r>
    </w:p>
    <w:p>
      <w:pPr>
        <w:shd w:val="clear" w:color="auto" w:fill="FFFFFF" w:themeFill="background1"/>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《食品生产许可分类目录》</w:t>
      </w:r>
      <w:r>
        <w:rPr>
          <w:rFonts w:ascii="仿宋" w:hAnsi="仿宋" w:eastAsia="仿宋"/>
          <w:color w:val="auto"/>
          <w:sz w:val="32"/>
          <w:szCs w:val="32"/>
        </w:rPr>
        <w:t>未包含</w:t>
      </w:r>
      <w:r>
        <w:rPr>
          <w:rFonts w:hint="eastAsia" w:ascii="仿宋" w:hAnsi="仿宋" w:eastAsia="仿宋"/>
          <w:color w:val="auto"/>
          <w:sz w:val="32"/>
          <w:szCs w:val="32"/>
        </w:rPr>
        <w:t>或者依据《食品生产许可分类目录》难以准确归类的食品品种，以及审查细则未明确的食品品种，县级以上地方市场监管部门可以依据《办法》和本通则的相关要求，结合类似食品的审查细则、地方特色食品生产许可审查细则和产品执行标准制定审查方案，实施许可审查。</w:t>
      </w:r>
    </w:p>
    <w:p>
      <w:pPr>
        <w:shd w:val="clear" w:color="auto" w:fill="FFFFFF" w:themeFill="background1"/>
        <w:spacing w:line="600" w:lineRule="exact"/>
        <w:ind w:firstLine="642" w:firstLineChars="200"/>
        <w:rPr>
          <w:rFonts w:ascii="仿宋" w:hAnsi="仿宋" w:eastAsia="仿宋"/>
          <w:color w:val="auto"/>
          <w:sz w:val="32"/>
          <w:szCs w:val="32"/>
        </w:rPr>
      </w:pPr>
      <w:r>
        <w:rPr>
          <w:rFonts w:hint="eastAsia" w:ascii="仿宋" w:hAnsi="仿宋" w:eastAsia="黑体"/>
          <w:b/>
          <w:color w:val="auto"/>
          <w:sz w:val="32"/>
          <w:szCs w:val="32"/>
        </w:rPr>
        <w:t xml:space="preserve">第五条 </w:t>
      </w:r>
      <w:r>
        <w:rPr>
          <w:rFonts w:hint="eastAsia" w:ascii="仿宋" w:hAnsi="仿宋" w:eastAsia="仿宋"/>
          <w:color w:val="auto"/>
          <w:sz w:val="32"/>
          <w:szCs w:val="32"/>
        </w:rPr>
        <w:t xml:space="preserve"> 法律法规、规章和标准对食品生产许可审查有特别规定的，还应当遵守其规定。</w:t>
      </w:r>
    </w:p>
    <w:p>
      <w:pPr>
        <w:pStyle w:val="2"/>
        <w:shd w:val="clear" w:color="auto" w:fill="FFFFFF" w:themeFill="background1"/>
        <w:spacing w:before="240" w:beforeLines="100" w:after="240" w:afterLines="100" w:line="240" w:lineRule="auto"/>
        <w:jc w:val="center"/>
        <w:rPr>
          <w:rFonts w:ascii="楷体" w:hAnsi="楷体" w:eastAsia="楷体" w:cs="方正楷体简体"/>
          <w:color w:val="auto"/>
          <w:sz w:val="36"/>
          <w:szCs w:val="20"/>
        </w:rPr>
      </w:pPr>
      <w:r>
        <w:rPr>
          <w:rFonts w:hint="eastAsia" w:ascii="楷体" w:hAnsi="楷体" w:eastAsia="楷体" w:cs="方正楷体简体"/>
          <w:color w:val="auto"/>
          <w:sz w:val="36"/>
          <w:szCs w:val="20"/>
        </w:rPr>
        <w:t>第二章</w:t>
      </w:r>
      <w:r>
        <w:rPr>
          <w:rFonts w:ascii="楷体" w:hAnsi="楷体" w:eastAsia="楷体" w:cs="方正楷体简体"/>
          <w:color w:val="auto"/>
          <w:sz w:val="36"/>
          <w:szCs w:val="20"/>
        </w:rPr>
        <w:t xml:space="preserve">  </w:t>
      </w:r>
      <w:r>
        <w:rPr>
          <w:rFonts w:hint="eastAsia" w:ascii="楷体" w:hAnsi="楷体" w:eastAsia="楷体" w:cs="方正楷体简体"/>
          <w:color w:val="auto"/>
          <w:sz w:val="36"/>
          <w:szCs w:val="20"/>
        </w:rPr>
        <w:t>申请材料审查</w:t>
      </w:r>
    </w:p>
    <w:p>
      <w:pPr>
        <w:shd w:val="clear" w:color="auto" w:fill="FFFFFF" w:themeFill="background1"/>
        <w:spacing w:line="600" w:lineRule="exact"/>
        <w:ind w:firstLine="642" w:firstLineChars="200"/>
        <w:rPr>
          <w:rFonts w:ascii="仿宋" w:hAnsi="仿宋" w:eastAsia="仿宋"/>
          <w:color w:val="auto"/>
          <w:sz w:val="32"/>
          <w:szCs w:val="32"/>
        </w:rPr>
      </w:pPr>
      <w:r>
        <w:rPr>
          <w:rFonts w:hint="eastAsia" w:ascii="仿宋" w:hAnsi="仿宋" w:eastAsia="黑体"/>
          <w:b/>
          <w:color w:val="auto"/>
          <w:sz w:val="32"/>
          <w:szCs w:val="32"/>
        </w:rPr>
        <w:t>第六条</w:t>
      </w:r>
      <w:r>
        <w:rPr>
          <w:rFonts w:hint="eastAsia" w:ascii="仿宋" w:hAnsi="仿宋" w:eastAsia="仿宋"/>
          <w:color w:val="auto"/>
          <w:sz w:val="32"/>
          <w:szCs w:val="32"/>
        </w:rPr>
        <w:t xml:space="preserve">  申请材料应当符合《办法》规定，以电子或纸质方式提交。 </w:t>
      </w:r>
    </w:p>
    <w:p>
      <w:pPr>
        <w:shd w:val="clear" w:color="auto" w:fill="FFFFFF" w:themeFill="background1"/>
        <w:spacing w:line="600" w:lineRule="exact"/>
        <w:ind w:firstLine="640" w:firstLineChars="200"/>
        <w:rPr>
          <w:color w:val="auto"/>
        </w:rPr>
      </w:pPr>
      <w:r>
        <w:rPr>
          <w:rFonts w:hint="eastAsia" w:ascii="仿宋" w:hAnsi="仿宋" w:eastAsia="仿宋"/>
          <w:color w:val="auto"/>
          <w:sz w:val="32"/>
          <w:szCs w:val="32"/>
        </w:rPr>
        <w:t>符合法定要求的电子申请材料、电子证照、电子印章、电子签名、电子档案与纸质申请材料、纸质证照、实物印章、手写签名或者盖章、纸质档案具有同等法律效力。</w:t>
      </w:r>
    </w:p>
    <w:p>
      <w:pPr>
        <w:shd w:val="clear" w:color="auto" w:fill="FFFFFF" w:themeFill="background1"/>
        <w:spacing w:line="600" w:lineRule="exact"/>
        <w:ind w:firstLine="642" w:firstLineChars="200"/>
        <w:rPr>
          <w:rFonts w:ascii="仿宋" w:hAnsi="仿宋" w:eastAsia="仿宋"/>
          <w:color w:val="auto"/>
          <w:sz w:val="32"/>
          <w:szCs w:val="32"/>
        </w:rPr>
      </w:pPr>
      <w:r>
        <w:rPr>
          <w:rFonts w:hint="eastAsia" w:ascii="仿宋" w:hAnsi="仿宋" w:eastAsia="黑体"/>
          <w:b/>
          <w:color w:val="auto"/>
          <w:sz w:val="32"/>
          <w:szCs w:val="32"/>
        </w:rPr>
        <w:t xml:space="preserve">第七条 </w:t>
      </w:r>
      <w:r>
        <w:rPr>
          <w:rFonts w:hint="eastAsia" w:ascii="仿宋" w:hAnsi="仿宋" w:eastAsia="仿宋"/>
          <w:color w:val="auto"/>
          <w:sz w:val="32"/>
          <w:szCs w:val="32"/>
        </w:rPr>
        <w:t xml:space="preserve"> 有相应审批权限的市场监督管理部门（以下</w:t>
      </w:r>
      <w:r>
        <w:rPr>
          <w:rFonts w:ascii="仿宋" w:hAnsi="仿宋" w:eastAsia="仿宋"/>
          <w:color w:val="auto"/>
          <w:sz w:val="32"/>
          <w:szCs w:val="32"/>
        </w:rPr>
        <w:t>简称审批部门</w:t>
      </w:r>
      <w:r>
        <w:rPr>
          <w:rFonts w:hint="eastAsia" w:ascii="仿宋" w:hAnsi="仿宋" w:eastAsia="仿宋"/>
          <w:color w:val="auto"/>
          <w:sz w:val="32"/>
          <w:szCs w:val="32"/>
        </w:rPr>
        <w:t>）根据食品生产许可及监管工作需要确定纸质申请材料的份数，确保实施食品安全日常监督管理的市场监督管理部门（以下</w:t>
      </w:r>
      <w:r>
        <w:rPr>
          <w:rFonts w:ascii="仿宋" w:hAnsi="仿宋" w:eastAsia="仿宋"/>
          <w:color w:val="auto"/>
          <w:sz w:val="32"/>
          <w:szCs w:val="32"/>
        </w:rPr>
        <w:t>简称日常监管部门</w:t>
      </w:r>
      <w:r>
        <w:rPr>
          <w:rFonts w:hint="eastAsia" w:ascii="仿宋" w:hAnsi="仿宋" w:eastAsia="仿宋"/>
          <w:color w:val="auto"/>
          <w:sz w:val="32"/>
          <w:szCs w:val="32"/>
        </w:rPr>
        <w:t>）掌握申请人申请许可的情况。</w:t>
      </w:r>
    </w:p>
    <w:p>
      <w:pPr>
        <w:shd w:val="clear" w:color="auto" w:fill="FFFFFF" w:themeFill="background1"/>
        <w:spacing w:line="600" w:lineRule="exact"/>
        <w:ind w:firstLine="642" w:firstLineChars="200"/>
        <w:rPr>
          <w:rFonts w:ascii="仿宋" w:hAnsi="仿宋" w:eastAsia="仿宋"/>
          <w:color w:val="auto"/>
          <w:sz w:val="32"/>
          <w:szCs w:val="32"/>
        </w:rPr>
      </w:pPr>
      <w:r>
        <w:rPr>
          <w:rFonts w:hint="eastAsia" w:ascii="仿宋" w:hAnsi="仿宋" w:eastAsia="黑体"/>
          <w:b/>
          <w:color w:val="auto"/>
          <w:sz w:val="32"/>
          <w:szCs w:val="32"/>
        </w:rPr>
        <w:t>第八条</w:t>
      </w:r>
      <w:r>
        <w:rPr>
          <w:rFonts w:ascii="仿宋" w:hAnsi="仿宋" w:eastAsia="仿宋"/>
          <w:color w:val="auto"/>
          <w:sz w:val="32"/>
          <w:szCs w:val="32"/>
        </w:rPr>
        <w:t xml:space="preserve">  食品生产者有下列情形</w:t>
      </w:r>
      <w:r>
        <w:rPr>
          <w:rFonts w:hint="eastAsia" w:ascii="仿宋" w:hAnsi="仿宋" w:eastAsia="仿宋"/>
          <w:color w:val="auto"/>
          <w:sz w:val="32"/>
          <w:szCs w:val="32"/>
        </w:rPr>
        <w:t>之一</w:t>
      </w:r>
      <w:r>
        <w:rPr>
          <w:rFonts w:ascii="仿宋" w:hAnsi="仿宋" w:eastAsia="仿宋"/>
          <w:color w:val="auto"/>
          <w:sz w:val="32"/>
          <w:szCs w:val="32"/>
        </w:rPr>
        <w:t>的，</w:t>
      </w:r>
      <w:r>
        <w:rPr>
          <w:rFonts w:hint="eastAsia" w:ascii="仿宋" w:hAnsi="仿宋" w:eastAsia="仿宋"/>
          <w:color w:val="auto"/>
          <w:sz w:val="32"/>
          <w:szCs w:val="32"/>
        </w:rPr>
        <w:t>审批</w:t>
      </w:r>
      <w:r>
        <w:rPr>
          <w:rFonts w:ascii="仿宋" w:hAnsi="仿宋" w:eastAsia="仿宋"/>
          <w:color w:val="auto"/>
          <w:sz w:val="32"/>
          <w:szCs w:val="32"/>
        </w:rPr>
        <w:t>部门应</w:t>
      </w:r>
      <w:r>
        <w:rPr>
          <w:rFonts w:hint="eastAsia" w:ascii="仿宋" w:hAnsi="仿宋" w:eastAsia="仿宋"/>
          <w:color w:val="auto"/>
          <w:sz w:val="32"/>
          <w:szCs w:val="32"/>
        </w:rPr>
        <w:t>当</w:t>
      </w:r>
      <w:r>
        <w:rPr>
          <w:rFonts w:ascii="仿宋" w:hAnsi="仿宋" w:eastAsia="仿宋"/>
          <w:color w:val="auto"/>
          <w:sz w:val="32"/>
          <w:szCs w:val="32"/>
        </w:rPr>
        <w:t>按照</w:t>
      </w:r>
      <w:r>
        <w:rPr>
          <w:rFonts w:hint="eastAsia" w:ascii="仿宋" w:hAnsi="仿宋" w:eastAsia="仿宋"/>
          <w:color w:val="auto"/>
          <w:sz w:val="32"/>
          <w:szCs w:val="32"/>
        </w:rPr>
        <w:t>申请食品</w:t>
      </w:r>
      <w:r>
        <w:rPr>
          <w:rFonts w:ascii="仿宋" w:hAnsi="仿宋" w:eastAsia="仿宋"/>
          <w:color w:val="auto"/>
          <w:sz w:val="32"/>
          <w:szCs w:val="32"/>
        </w:rPr>
        <w:t>生产许可</w:t>
      </w:r>
      <w:r>
        <w:rPr>
          <w:rFonts w:hint="eastAsia" w:ascii="仿宋" w:hAnsi="仿宋" w:eastAsia="仿宋"/>
          <w:bCs/>
          <w:color w:val="auto"/>
          <w:sz w:val="32"/>
          <w:szCs w:val="32"/>
        </w:rPr>
        <w:t>的</w:t>
      </w:r>
      <w:r>
        <w:rPr>
          <w:rFonts w:ascii="仿宋" w:hAnsi="仿宋" w:eastAsia="仿宋"/>
          <w:bCs/>
          <w:color w:val="auto"/>
          <w:sz w:val="32"/>
          <w:szCs w:val="32"/>
        </w:rPr>
        <w:t>要求</w:t>
      </w:r>
      <w:r>
        <w:rPr>
          <w:rFonts w:hint="eastAsia" w:ascii="仿宋" w:hAnsi="仿宋" w:eastAsia="仿宋"/>
          <w:bCs/>
          <w:color w:val="auto"/>
          <w:sz w:val="32"/>
          <w:szCs w:val="32"/>
        </w:rPr>
        <w:t>审查</w:t>
      </w:r>
      <w:r>
        <w:rPr>
          <w:rFonts w:hint="eastAsia" w:ascii="仿宋" w:hAnsi="仿宋" w:eastAsia="仿宋"/>
          <w:color w:val="auto"/>
          <w:sz w:val="32"/>
          <w:szCs w:val="32"/>
        </w:rPr>
        <w:t>：</w:t>
      </w:r>
    </w:p>
    <w:p>
      <w:pPr>
        <w:shd w:val="clear" w:color="auto" w:fill="FFFFFF" w:themeFill="background1"/>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（一）首次申请食品生产许可的；</w:t>
      </w:r>
    </w:p>
    <w:p>
      <w:pPr>
        <w:shd w:val="clear" w:color="auto" w:fill="FFFFFF" w:themeFill="background1"/>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（二）食品生产许可证有效期届满后提出许可申请的；</w:t>
      </w:r>
    </w:p>
    <w:p>
      <w:pPr>
        <w:shd w:val="clear" w:color="auto" w:fill="FFFFFF" w:themeFill="background1"/>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（三）生产场所迁址，申请办理许可手续的；</w:t>
      </w:r>
    </w:p>
    <w:p>
      <w:pPr>
        <w:shd w:val="clear" w:color="auto" w:fill="FFFFFF" w:themeFill="background1"/>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（四）食品生产者的生产条件发生重大变化，不再符合食品生产要求，需要重新办理许可手续的。</w:t>
      </w:r>
    </w:p>
    <w:p>
      <w:pPr>
        <w:shd w:val="clear" w:color="auto" w:fill="FFFFFF" w:themeFill="background1"/>
        <w:spacing w:line="600" w:lineRule="exact"/>
        <w:ind w:firstLine="642" w:firstLineChars="200"/>
        <w:rPr>
          <w:rFonts w:ascii="仿宋" w:hAnsi="仿宋" w:eastAsia="仿宋"/>
          <w:color w:val="auto"/>
          <w:sz w:val="32"/>
          <w:szCs w:val="32"/>
        </w:rPr>
      </w:pPr>
      <w:r>
        <w:rPr>
          <w:rFonts w:hint="eastAsia" w:ascii="仿宋" w:hAnsi="仿宋" w:eastAsia="黑体"/>
          <w:b/>
          <w:color w:val="auto"/>
          <w:sz w:val="32"/>
          <w:szCs w:val="32"/>
        </w:rPr>
        <w:t>第九条</w:t>
      </w:r>
      <w:r>
        <w:rPr>
          <w:rFonts w:hint="eastAsia" w:ascii="仿宋" w:hAnsi="仿宋" w:eastAsia="仿宋"/>
          <w:color w:val="auto"/>
          <w:sz w:val="32"/>
          <w:szCs w:val="32"/>
        </w:rPr>
        <w:t xml:space="preserve">  申请食品</w:t>
      </w:r>
      <w:r>
        <w:rPr>
          <w:rFonts w:ascii="仿宋" w:hAnsi="仿宋" w:eastAsia="仿宋"/>
          <w:color w:val="auto"/>
          <w:sz w:val="32"/>
          <w:szCs w:val="32"/>
        </w:rPr>
        <w:t>生产许可的</w:t>
      </w:r>
      <w:r>
        <w:rPr>
          <w:rFonts w:hint="eastAsia" w:ascii="仿宋" w:hAnsi="仿宋" w:eastAsia="仿宋"/>
          <w:color w:val="auto"/>
          <w:sz w:val="32"/>
          <w:szCs w:val="32"/>
        </w:rPr>
        <w:t>申请材料审查</w:t>
      </w:r>
      <w:r>
        <w:rPr>
          <w:rFonts w:ascii="仿宋" w:hAnsi="仿宋" w:eastAsia="仿宋"/>
          <w:color w:val="auto"/>
          <w:sz w:val="32"/>
          <w:szCs w:val="32"/>
        </w:rPr>
        <w:t>应当包括以下内容</w:t>
      </w:r>
      <w:r>
        <w:rPr>
          <w:rFonts w:hint="eastAsia" w:ascii="仿宋" w:hAnsi="仿宋" w:eastAsia="仿宋"/>
          <w:color w:val="auto"/>
          <w:sz w:val="32"/>
          <w:szCs w:val="32"/>
        </w:rPr>
        <w:t>：</w:t>
      </w:r>
    </w:p>
    <w:p>
      <w:pPr>
        <w:shd w:val="clear" w:color="auto" w:fill="FFFFFF" w:themeFill="background1"/>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（一）完整性</w:t>
      </w:r>
    </w:p>
    <w:p>
      <w:pPr>
        <w:shd w:val="clear" w:color="auto" w:fill="FFFFFF" w:themeFill="background1"/>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申请材料符合《办法》</w:t>
      </w:r>
      <w:r>
        <w:rPr>
          <w:rFonts w:hint="eastAsia" w:ascii="仿宋" w:hAnsi="仿宋" w:eastAsia="仿宋"/>
          <w:b/>
          <w:color w:val="auto"/>
          <w:sz w:val="32"/>
          <w:szCs w:val="32"/>
        </w:rPr>
        <w:t>第十三条</w:t>
      </w:r>
      <w:r>
        <w:rPr>
          <w:rFonts w:hint="eastAsia" w:ascii="仿宋" w:hAnsi="仿宋" w:eastAsia="仿宋"/>
          <w:color w:val="auto"/>
          <w:sz w:val="32"/>
          <w:szCs w:val="32"/>
        </w:rPr>
        <w:t>、</w:t>
      </w:r>
      <w:r>
        <w:rPr>
          <w:rFonts w:hint="eastAsia" w:ascii="仿宋" w:hAnsi="仿宋" w:eastAsia="仿宋"/>
          <w:b/>
          <w:color w:val="auto"/>
          <w:sz w:val="32"/>
          <w:szCs w:val="32"/>
        </w:rPr>
        <w:t>第十四条</w:t>
      </w:r>
      <w:r>
        <w:rPr>
          <w:rFonts w:hint="eastAsia" w:ascii="仿宋" w:hAnsi="仿宋" w:eastAsia="仿宋"/>
          <w:color w:val="auto"/>
          <w:sz w:val="32"/>
          <w:szCs w:val="32"/>
        </w:rPr>
        <w:t>和</w:t>
      </w:r>
      <w:r>
        <w:rPr>
          <w:rFonts w:hint="eastAsia" w:ascii="仿宋" w:hAnsi="仿宋" w:eastAsia="仿宋"/>
          <w:b/>
          <w:color w:val="auto"/>
          <w:sz w:val="32"/>
          <w:szCs w:val="32"/>
        </w:rPr>
        <w:t>第十六条</w:t>
      </w:r>
      <w:r>
        <w:rPr>
          <w:rFonts w:hint="eastAsia" w:ascii="仿宋" w:hAnsi="仿宋" w:eastAsia="仿宋"/>
          <w:color w:val="auto"/>
          <w:sz w:val="32"/>
          <w:szCs w:val="32"/>
        </w:rPr>
        <w:t>的要求；</w:t>
      </w:r>
    </w:p>
    <w:p>
      <w:pPr>
        <w:shd w:val="clear" w:color="auto" w:fill="FFFFFF" w:themeFill="background1"/>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（二）规范性</w:t>
      </w:r>
    </w:p>
    <w:p>
      <w:pPr>
        <w:shd w:val="clear" w:color="auto" w:fill="FFFFFF" w:themeFill="background1"/>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1. 申请材料符合法定形式和填写要求，纸质申请材料应当使用钢笔、签字笔填写或者打印，字迹应当清晰、工整，修改处应当加盖申请人公章或者由申请人的法定代表人（负责人）签名；</w:t>
      </w:r>
    </w:p>
    <w:p>
      <w:pPr>
        <w:shd w:val="clear" w:color="auto" w:fill="FFFFFF" w:themeFill="background1"/>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2. 申请人名称、法定代表人（负责人）、统一社会信用代码、住所等填写内容与营业执照一致；</w:t>
      </w:r>
    </w:p>
    <w:p>
      <w:pPr>
        <w:shd w:val="clear" w:color="auto" w:fill="FFFFFF" w:themeFill="background1"/>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3. 生产地址为申请人从事食品生产活动的详细地址；</w:t>
      </w:r>
    </w:p>
    <w:p>
      <w:pPr>
        <w:shd w:val="clear" w:color="auto" w:fill="FFFFFF" w:themeFill="background1"/>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4. 申请材料均由申请人的法定代表人（负责人）签名或者加盖</w:t>
      </w:r>
      <w:r>
        <w:rPr>
          <w:rFonts w:ascii="仿宋" w:hAnsi="仿宋" w:eastAsia="仿宋"/>
          <w:color w:val="auto"/>
          <w:sz w:val="32"/>
          <w:szCs w:val="32"/>
        </w:rPr>
        <w:t>申请人公</w:t>
      </w:r>
      <w:r>
        <w:rPr>
          <w:rFonts w:hint="eastAsia" w:ascii="仿宋" w:hAnsi="仿宋" w:eastAsia="仿宋"/>
          <w:color w:val="auto"/>
          <w:sz w:val="32"/>
          <w:szCs w:val="32"/>
        </w:rPr>
        <w:t>章，复印件还</w:t>
      </w:r>
      <w:r>
        <w:rPr>
          <w:rFonts w:ascii="仿宋" w:hAnsi="仿宋" w:eastAsia="仿宋"/>
          <w:color w:val="auto"/>
          <w:sz w:val="32"/>
          <w:szCs w:val="32"/>
        </w:rPr>
        <w:t>应</w:t>
      </w:r>
      <w:r>
        <w:rPr>
          <w:rFonts w:hint="eastAsia" w:ascii="仿宋" w:hAnsi="仿宋" w:eastAsia="仿宋"/>
          <w:color w:val="auto"/>
          <w:sz w:val="32"/>
          <w:szCs w:val="32"/>
        </w:rPr>
        <w:t>由申请人注明“与原件一致”；</w:t>
      </w:r>
    </w:p>
    <w:p>
      <w:pPr>
        <w:shd w:val="clear" w:color="auto" w:fill="FFFFFF" w:themeFill="background1"/>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5. 产品信息表中食品、食品添加剂类别，类别编号，类别名称，品种明细及备注的填写符合《</w:t>
      </w:r>
      <w:r>
        <w:rPr>
          <w:rFonts w:hint="eastAsia" w:ascii="Times New Roman" w:hAnsi="Times New Roman" w:eastAsia="仿宋_GB2312"/>
          <w:color w:val="auto"/>
          <w:sz w:val="32"/>
          <w:szCs w:val="32"/>
        </w:rPr>
        <w:t>食品生产许可</w:t>
      </w:r>
      <w:r>
        <w:rPr>
          <w:rFonts w:hint="eastAsia" w:ascii="仿宋" w:hAnsi="仿宋" w:eastAsia="仿宋"/>
          <w:color w:val="auto"/>
          <w:sz w:val="32"/>
          <w:szCs w:val="32"/>
        </w:rPr>
        <w:t>分类目录》的有关要求。</w:t>
      </w:r>
    </w:p>
    <w:p>
      <w:pPr>
        <w:shd w:val="clear" w:color="auto" w:fill="FFFFFF" w:themeFill="background1"/>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（三）合规性</w:t>
      </w:r>
    </w:p>
    <w:p>
      <w:pPr>
        <w:shd w:val="clear" w:color="auto" w:fill="FFFFFF" w:themeFill="background1"/>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1. 申请人具备申请食品生产许可的主体资格；</w:t>
      </w:r>
    </w:p>
    <w:p>
      <w:pPr>
        <w:shd w:val="clear" w:color="auto" w:fill="FFFFFF" w:themeFill="background1"/>
        <w:spacing w:line="600" w:lineRule="exact"/>
        <w:ind w:firstLine="640" w:firstLineChars="200"/>
        <w:rPr>
          <w:rFonts w:ascii="仿宋" w:hAnsi="仿宋" w:eastAsia="仿宋"/>
          <w:color w:val="auto"/>
          <w:sz w:val="32"/>
          <w:szCs w:val="32"/>
        </w:rPr>
      </w:pPr>
      <w:r>
        <w:rPr>
          <w:rFonts w:ascii="仿宋" w:hAnsi="仿宋" w:eastAsia="仿宋"/>
          <w:color w:val="auto"/>
          <w:sz w:val="32"/>
          <w:szCs w:val="32"/>
        </w:rPr>
        <w:t>2</w:t>
      </w:r>
      <w:r>
        <w:rPr>
          <w:rFonts w:hint="eastAsia" w:ascii="仿宋" w:hAnsi="仿宋" w:eastAsia="仿宋"/>
          <w:color w:val="auto"/>
          <w:sz w:val="32"/>
          <w:szCs w:val="32"/>
        </w:rPr>
        <w:t>. 食品生产主要设备、设施清单符合《办法》</w:t>
      </w:r>
      <w:r>
        <w:rPr>
          <w:rFonts w:hint="eastAsia" w:ascii="仿宋" w:hAnsi="仿宋" w:eastAsia="仿宋"/>
          <w:b/>
          <w:color w:val="auto"/>
          <w:sz w:val="32"/>
          <w:szCs w:val="32"/>
        </w:rPr>
        <w:t>第十二条</w:t>
      </w:r>
      <w:r>
        <w:rPr>
          <w:rFonts w:hint="eastAsia" w:ascii="仿宋" w:hAnsi="仿宋" w:eastAsia="仿宋"/>
          <w:color w:val="auto"/>
          <w:sz w:val="32"/>
          <w:szCs w:val="32"/>
        </w:rPr>
        <w:t>第（二）项和相应审查细则要求；</w:t>
      </w:r>
    </w:p>
    <w:p>
      <w:pPr>
        <w:shd w:val="clear" w:color="auto" w:fill="FFFFFF" w:themeFill="background1"/>
        <w:spacing w:line="600" w:lineRule="exact"/>
        <w:ind w:firstLine="640" w:firstLineChars="200"/>
        <w:rPr>
          <w:rFonts w:ascii="仿宋" w:hAnsi="仿宋" w:eastAsia="仿宋"/>
          <w:color w:val="auto"/>
          <w:sz w:val="32"/>
          <w:szCs w:val="32"/>
        </w:rPr>
      </w:pPr>
      <w:r>
        <w:rPr>
          <w:rFonts w:ascii="仿宋" w:hAnsi="仿宋" w:eastAsia="仿宋"/>
          <w:color w:val="auto"/>
          <w:sz w:val="32"/>
          <w:szCs w:val="32"/>
        </w:rPr>
        <w:t xml:space="preserve">3. </w:t>
      </w:r>
      <w:r>
        <w:rPr>
          <w:rFonts w:hint="eastAsia" w:ascii="仿宋" w:hAnsi="仿宋" w:eastAsia="仿宋"/>
          <w:color w:val="auto"/>
          <w:sz w:val="32"/>
          <w:szCs w:val="32"/>
        </w:rPr>
        <w:t>食品生产设备布局图和食品生产工艺流程图完整、准确，布局图按比例标注，设备布局、工艺流程合理，符合《办法》</w:t>
      </w:r>
      <w:r>
        <w:rPr>
          <w:rFonts w:hint="eastAsia" w:ascii="仿宋" w:hAnsi="仿宋" w:eastAsia="仿宋"/>
          <w:b/>
          <w:color w:val="auto"/>
          <w:sz w:val="32"/>
          <w:szCs w:val="32"/>
        </w:rPr>
        <w:t>第十二条</w:t>
      </w:r>
      <w:r>
        <w:rPr>
          <w:rFonts w:hint="eastAsia" w:ascii="仿宋" w:hAnsi="仿宋" w:eastAsia="仿宋"/>
          <w:color w:val="auto"/>
          <w:sz w:val="32"/>
          <w:szCs w:val="32"/>
        </w:rPr>
        <w:t>第（一）项和第（四）项要求，符合相应审查细则和所执行标准要求；</w:t>
      </w:r>
    </w:p>
    <w:p>
      <w:pPr>
        <w:shd w:val="clear" w:color="auto" w:fill="FFFFFF" w:themeFill="background1"/>
        <w:spacing w:line="600" w:lineRule="exact"/>
        <w:ind w:firstLine="640" w:firstLineChars="200"/>
        <w:rPr>
          <w:rFonts w:ascii="仿宋" w:hAnsi="仿宋" w:eastAsia="仿宋"/>
          <w:color w:val="auto"/>
          <w:sz w:val="32"/>
          <w:szCs w:val="32"/>
        </w:rPr>
      </w:pPr>
      <w:r>
        <w:rPr>
          <w:rFonts w:ascii="仿宋" w:hAnsi="仿宋" w:eastAsia="仿宋"/>
          <w:color w:val="auto"/>
          <w:sz w:val="32"/>
          <w:szCs w:val="32"/>
        </w:rPr>
        <w:t>4</w:t>
      </w:r>
      <w:r>
        <w:rPr>
          <w:rFonts w:hint="eastAsia" w:ascii="仿宋" w:hAnsi="仿宋" w:eastAsia="仿宋"/>
          <w:color w:val="auto"/>
          <w:sz w:val="32"/>
          <w:szCs w:val="32"/>
        </w:rPr>
        <w:t>. 申请人配备专职或者兼职的食品安全专业技术人员和食品安全管理人员，符合相应审查细则要求，申请人及从事食品生产管理工作的食品安全管理人员未受到从业禁止；</w:t>
      </w:r>
    </w:p>
    <w:p>
      <w:pPr>
        <w:shd w:val="clear" w:color="auto" w:fill="FFFFFF" w:themeFill="background1"/>
        <w:spacing w:line="600" w:lineRule="exact"/>
        <w:ind w:firstLine="640" w:firstLineChars="200"/>
        <w:rPr>
          <w:rFonts w:ascii="仿宋" w:hAnsi="仿宋" w:eastAsia="仿宋"/>
          <w:color w:val="auto"/>
          <w:sz w:val="32"/>
          <w:szCs w:val="32"/>
        </w:rPr>
      </w:pPr>
      <w:r>
        <w:rPr>
          <w:rFonts w:ascii="仿宋" w:hAnsi="仿宋" w:eastAsia="仿宋"/>
          <w:color w:val="auto"/>
          <w:sz w:val="32"/>
          <w:szCs w:val="32"/>
        </w:rPr>
        <w:t>5</w:t>
      </w:r>
      <w:r>
        <w:rPr>
          <w:rFonts w:hint="eastAsia" w:ascii="仿宋" w:hAnsi="仿宋" w:eastAsia="仿宋"/>
          <w:color w:val="auto"/>
          <w:sz w:val="32"/>
          <w:szCs w:val="32"/>
        </w:rPr>
        <w:t>. 食品安全管理制度清单</w:t>
      </w:r>
      <w:r>
        <w:rPr>
          <w:rFonts w:ascii="仿宋" w:hAnsi="仿宋" w:eastAsia="仿宋"/>
          <w:color w:val="auto"/>
          <w:sz w:val="32"/>
          <w:szCs w:val="32"/>
        </w:rPr>
        <w:t>内容</w:t>
      </w:r>
      <w:r>
        <w:rPr>
          <w:rFonts w:hint="eastAsia" w:ascii="仿宋" w:hAnsi="仿宋" w:eastAsia="仿宋"/>
          <w:color w:val="auto"/>
          <w:sz w:val="32"/>
          <w:szCs w:val="32"/>
        </w:rPr>
        <w:t>符合《办法》</w:t>
      </w:r>
      <w:r>
        <w:rPr>
          <w:rFonts w:hint="eastAsia" w:ascii="仿宋" w:hAnsi="仿宋" w:eastAsia="仿宋"/>
          <w:b/>
          <w:color w:val="auto"/>
          <w:sz w:val="32"/>
          <w:szCs w:val="32"/>
        </w:rPr>
        <w:t>第十二条</w:t>
      </w:r>
      <w:r>
        <w:rPr>
          <w:rFonts w:hint="eastAsia" w:ascii="仿宋" w:hAnsi="仿宋" w:eastAsia="仿宋"/>
          <w:color w:val="auto"/>
          <w:sz w:val="32"/>
          <w:szCs w:val="32"/>
        </w:rPr>
        <w:t>第（三）项和相应审查细则要求。</w:t>
      </w:r>
    </w:p>
    <w:p>
      <w:pPr>
        <w:shd w:val="clear" w:color="auto" w:fill="FFFFFF" w:themeFill="background1"/>
        <w:spacing w:line="600" w:lineRule="exact"/>
        <w:ind w:firstLine="642" w:firstLineChars="200"/>
        <w:rPr>
          <w:rFonts w:ascii="仿宋" w:hAnsi="仿宋" w:eastAsia="仿宋"/>
          <w:color w:val="auto"/>
          <w:sz w:val="32"/>
          <w:szCs w:val="32"/>
        </w:rPr>
      </w:pPr>
      <w:r>
        <w:rPr>
          <w:rFonts w:hint="eastAsia" w:ascii="仿宋" w:hAnsi="仿宋" w:eastAsia="黑体"/>
          <w:b/>
          <w:color w:val="auto"/>
          <w:sz w:val="32"/>
          <w:szCs w:val="32"/>
        </w:rPr>
        <w:t>第十条</w:t>
      </w:r>
      <w:r>
        <w:rPr>
          <w:rFonts w:ascii="仿宋" w:hAnsi="仿宋" w:eastAsia="仿宋"/>
          <w:color w:val="auto"/>
          <w:sz w:val="32"/>
          <w:szCs w:val="32"/>
        </w:rPr>
        <w:t xml:space="preserve">  食品生产者有</w:t>
      </w:r>
      <w:r>
        <w:rPr>
          <w:rFonts w:hint="eastAsia" w:ascii="仿宋" w:hAnsi="仿宋" w:eastAsia="仿宋"/>
          <w:color w:val="auto"/>
          <w:sz w:val="32"/>
          <w:szCs w:val="32"/>
        </w:rPr>
        <w:t>下列</w:t>
      </w:r>
      <w:r>
        <w:rPr>
          <w:rFonts w:ascii="仿宋" w:hAnsi="仿宋" w:eastAsia="仿宋"/>
          <w:color w:val="auto"/>
          <w:sz w:val="32"/>
          <w:szCs w:val="32"/>
        </w:rPr>
        <w:t>情形</w:t>
      </w:r>
      <w:r>
        <w:rPr>
          <w:rFonts w:hint="eastAsia" w:ascii="仿宋" w:hAnsi="仿宋" w:eastAsia="仿宋"/>
          <w:color w:val="auto"/>
          <w:sz w:val="32"/>
          <w:szCs w:val="32"/>
        </w:rPr>
        <w:t>之一</w:t>
      </w:r>
      <w:r>
        <w:rPr>
          <w:rFonts w:ascii="仿宋" w:hAnsi="仿宋" w:eastAsia="仿宋"/>
          <w:color w:val="auto"/>
          <w:sz w:val="32"/>
          <w:szCs w:val="32"/>
        </w:rPr>
        <w:t>的，</w:t>
      </w:r>
      <w:r>
        <w:rPr>
          <w:rFonts w:hint="eastAsia" w:ascii="仿宋" w:hAnsi="仿宋" w:eastAsia="仿宋"/>
          <w:color w:val="auto"/>
          <w:sz w:val="32"/>
          <w:szCs w:val="32"/>
        </w:rPr>
        <w:t>审批</w:t>
      </w:r>
      <w:r>
        <w:rPr>
          <w:rFonts w:ascii="仿宋" w:hAnsi="仿宋" w:eastAsia="仿宋"/>
          <w:color w:val="auto"/>
          <w:sz w:val="32"/>
          <w:szCs w:val="32"/>
        </w:rPr>
        <w:t>部门应</w:t>
      </w:r>
      <w:r>
        <w:rPr>
          <w:rFonts w:hint="eastAsia" w:ascii="仿宋" w:hAnsi="仿宋" w:eastAsia="仿宋"/>
          <w:color w:val="auto"/>
          <w:sz w:val="32"/>
          <w:szCs w:val="32"/>
        </w:rPr>
        <w:t>当</w:t>
      </w:r>
      <w:r>
        <w:rPr>
          <w:rFonts w:ascii="仿宋" w:hAnsi="仿宋" w:eastAsia="仿宋"/>
          <w:color w:val="auto"/>
          <w:sz w:val="32"/>
          <w:szCs w:val="32"/>
        </w:rPr>
        <w:t>按照</w:t>
      </w:r>
      <w:r>
        <w:rPr>
          <w:rFonts w:hint="eastAsia" w:ascii="仿宋" w:hAnsi="仿宋" w:eastAsia="仿宋"/>
          <w:color w:val="auto"/>
          <w:sz w:val="32"/>
          <w:szCs w:val="32"/>
        </w:rPr>
        <w:t>变更许可的要求审查：</w:t>
      </w:r>
    </w:p>
    <w:p>
      <w:pPr>
        <w:shd w:val="clear" w:color="auto" w:fill="FFFFFF" w:themeFill="background1"/>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（一）现有设备布局和工艺流程发生变化的；</w:t>
      </w:r>
    </w:p>
    <w:p>
      <w:pPr>
        <w:shd w:val="clear" w:color="auto" w:fill="FFFFFF" w:themeFill="background1"/>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（二）主要生产设备设施发生变化的；</w:t>
      </w:r>
    </w:p>
    <w:p>
      <w:pPr>
        <w:shd w:val="clear" w:color="auto" w:fill="FFFFFF" w:themeFill="background1"/>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（三）食品类别发生变化的；</w:t>
      </w:r>
    </w:p>
    <w:p>
      <w:pPr>
        <w:shd w:val="clear" w:color="auto" w:fill="FFFFFF" w:themeFill="background1"/>
        <w:spacing w:line="600" w:lineRule="exact"/>
        <w:ind w:firstLine="640" w:firstLineChars="200"/>
        <w:rPr>
          <w:color w:val="auto"/>
        </w:rPr>
      </w:pPr>
      <w:r>
        <w:rPr>
          <w:rFonts w:hint="eastAsia" w:ascii="仿宋" w:hAnsi="仿宋" w:eastAsia="仿宋"/>
          <w:color w:val="auto"/>
          <w:sz w:val="32"/>
          <w:szCs w:val="32"/>
        </w:rPr>
        <w:t>（四）生产场所改建、扩建的；</w:t>
      </w:r>
    </w:p>
    <w:p>
      <w:pPr>
        <w:shd w:val="clear" w:color="auto" w:fill="FFFFFF" w:themeFill="background1"/>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（五）其他生产条件或生产场所周边环境发生变化，可能影响食品安全的；</w:t>
      </w:r>
    </w:p>
    <w:p>
      <w:pPr>
        <w:shd w:val="clear" w:color="auto" w:fill="FFFFFF" w:themeFill="background1"/>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（六）食品生产许可证载明的其他事项发生变化，需要变更的。</w:t>
      </w:r>
    </w:p>
    <w:p>
      <w:pPr>
        <w:shd w:val="clear" w:color="auto" w:fill="FFFFFF" w:themeFill="background1"/>
        <w:spacing w:line="600" w:lineRule="exact"/>
        <w:ind w:firstLine="642" w:firstLineChars="200"/>
        <w:rPr>
          <w:rFonts w:ascii="仿宋" w:hAnsi="仿宋" w:eastAsia="仿宋"/>
          <w:color w:val="auto"/>
          <w:sz w:val="32"/>
          <w:szCs w:val="32"/>
        </w:rPr>
      </w:pPr>
      <w:r>
        <w:rPr>
          <w:rFonts w:hint="eastAsia" w:ascii="仿宋" w:hAnsi="仿宋" w:eastAsia="黑体"/>
          <w:b/>
          <w:color w:val="auto"/>
          <w:sz w:val="32"/>
          <w:szCs w:val="32"/>
        </w:rPr>
        <w:t>第十一条</w:t>
      </w:r>
      <w:r>
        <w:rPr>
          <w:rFonts w:hint="eastAsia" w:ascii="仿宋" w:hAnsi="仿宋" w:eastAsia="仿宋"/>
          <w:color w:val="auto"/>
          <w:sz w:val="32"/>
          <w:szCs w:val="32"/>
        </w:rPr>
        <w:t xml:space="preserve">  变更许可的申请材料审查应当包括以下内容：</w:t>
      </w:r>
    </w:p>
    <w:p>
      <w:pPr>
        <w:shd w:val="clear" w:color="auto" w:fill="FFFFFF" w:themeFill="background1"/>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（一）申请材料符合《办法》</w:t>
      </w:r>
      <w:r>
        <w:rPr>
          <w:rFonts w:hint="eastAsia" w:ascii="仿宋" w:hAnsi="仿宋" w:eastAsia="仿宋"/>
          <w:b/>
          <w:color w:val="auto"/>
          <w:sz w:val="32"/>
          <w:szCs w:val="32"/>
        </w:rPr>
        <w:t>第三十三条</w:t>
      </w:r>
      <w:r>
        <w:rPr>
          <w:rFonts w:hint="eastAsia" w:ascii="仿宋" w:hAnsi="仿宋" w:eastAsia="仿宋"/>
          <w:color w:val="auto"/>
          <w:sz w:val="32"/>
          <w:szCs w:val="32"/>
        </w:rPr>
        <w:t>要求；</w:t>
      </w:r>
    </w:p>
    <w:p>
      <w:pPr>
        <w:shd w:val="clear" w:color="auto" w:fill="FFFFFF" w:themeFill="background1"/>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（二）申请变更的事项属于本通则</w:t>
      </w:r>
      <w:r>
        <w:rPr>
          <w:rFonts w:ascii="仿宋" w:hAnsi="仿宋" w:eastAsia="仿宋"/>
          <w:b/>
          <w:color w:val="auto"/>
          <w:sz w:val="32"/>
          <w:szCs w:val="32"/>
        </w:rPr>
        <w:t>第</w:t>
      </w:r>
      <w:r>
        <w:rPr>
          <w:rFonts w:hint="eastAsia" w:ascii="仿宋" w:hAnsi="仿宋" w:eastAsia="仿宋"/>
          <w:b/>
          <w:color w:val="auto"/>
          <w:sz w:val="32"/>
          <w:szCs w:val="32"/>
        </w:rPr>
        <w:t>十</w:t>
      </w:r>
      <w:r>
        <w:rPr>
          <w:rFonts w:ascii="仿宋" w:hAnsi="仿宋" w:eastAsia="仿宋"/>
          <w:b/>
          <w:color w:val="auto"/>
          <w:sz w:val="32"/>
          <w:szCs w:val="32"/>
        </w:rPr>
        <w:t>条</w:t>
      </w:r>
      <w:r>
        <w:rPr>
          <w:rFonts w:ascii="仿宋" w:hAnsi="仿宋" w:eastAsia="仿宋"/>
          <w:color w:val="auto"/>
          <w:sz w:val="32"/>
          <w:szCs w:val="32"/>
        </w:rPr>
        <w:t>规定的</w:t>
      </w:r>
      <w:r>
        <w:rPr>
          <w:rFonts w:hint="eastAsia" w:ascii="仿宋" w:hAnsi="仿宋" w:eastAsia="仿宋"/>
          <w:color w:val="auto"/>
          <w:sz w:val="32"/>
          <w:szCs w:val="32"/>
        </w:rPr>
        <w:t>变更范畴；</w:t>
      </w:r>
    </w:p>
    <w:p>
      <w:pPr>
        <w:shd w:val="clear" w:color="auto" w:fill="FFFFFF" w:themeFill="background1"/>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（三）涉及变更事项的申请材料符合本通则</w:t>
      </w:r>
      <w:r>
        <w:rPr>
          <w:rFonts w:hint="eastAsia" w:ascii="仿宋" w:hAnsi="仿宋" w:eastAsia="仿宋"/>
          <w:b/>
          <w:color w:val="auto"/>
          <w:sz w:val="32"/>
          <w:szCs w:val="32"/>
        </w:rPr>
        <w:t>第九条</w:t>
      </w:r>
      <w:r>
        <w:rPr>
          <w:rFonts w:hint="eastAsia" w:ascii="仿宋" w:hAnsi="仿宋" w:eastAsia="仿宋"/>
          <w:color w:val="auto"/>
          <w:sz w:val="32"/>
          <w:szCs w:val="32"/>
        </w:rPr>
        <w:t>中关于规范性及合规性的要求。</w:t>
      </w:r>
    </w:p>
    <w:p>
      <w:pPr>
        <w:shd w:val="clear" w:color="auto" w:fill="FFFFFF" w:themeFill="background1"/>
        <w:spacing w:line="600" w:lineRule="exact"/>
        <w:ind w:firstLine="642" w:firstLineChars="200"/>
        <w:rPr>
          <w:rFonts w:ascii="仿宋" w:hAnsi="仿宋" w:eastAsia="仿宋"/>
          <w:color w:val="auto"/>
          <w:sz w:val="32"/>
          <w:szCs w:val="32"/>
        </w:rPr>
      </w:pPr>
      <w:r>
        <w:rPr>
          <w:rFonts w:hint="eastAsia" w:ascii="仿宋" w:hAnsi="仿宋" w:eastAsia="黑体"/>
          <w:b/>
          <w:color w:val="auto"/>
          <w:sz w:val="32"/>
          <w:szCs w:val="32"/>
        </w:rPr>
        <w:t>第十二条</w:t>
      </w:r>
      <w:r>
        <w:rPr>
          <w:rFonts w:ascii="仿宋" w:hAnsi="仿宋" w:eastAsia="仿宋"/>
          <w:color w:val="auto"/>
          <w:sz w:val="32"/>
          <w:szCs w:val="32"/>
        </w:rPr>
        <w:t xml:space="preserve">  食品生产者依法提出延续食品生产许可的，</w:t>
      </w:r>
      <w:r>
        <w:rPr>
          <w:rFonts w:hint="eastAsia" w:ascii="仿宋" w:hAnsi="仿宋" w:eastAsia="仿宋"/>
          <w:color w:val="auto"/>
          <w:sz w:val="32"/>
          <w:szCs w:val="32"/>
        </w:rPr>
        <w:t>审批</w:t>
      </w:r>
      <w:r>
        <w:rPr>
          <w:rFonts w:ascii="仿宋" w:hAnsi="仿宋" w:eastAsia="仿宋"/>
          <w:color w:val="auto"/>
          <w:sz w:val="32"/>
          <w:szCs w:val="32"/>
        </w:rPr>
        <w:t>部门应</w:t>
      </w:r>
      <w:r>
        <w:rPr>
          <w:rFonts w:hint="eastAsia" w:ascii="仿宋" w:hAnsi="仿宋" w:eastAsia="仿宋"/>
          <w:color w:val="auto"/>
          <w:sz w:val="32"/>
          <w:szCs w:val="32"/>
        </w:rPr>
        <w:t>当</w:t>
      </w:r>
      <w:r>
        <w:rPr>
          <w:rFonts w:ascii="仿宋" w:hAnsi="仿宋" w:eastAsia="仿宋"/>
          <w:color w:val="auto"/>
          <w:sz w:val="32"/>
          <w:szCs w:val="32"/>
        </w:rPr>
        <w:t>按照</w:t>
      </w:r>
      <w:r>
        <w:rPr>
          <w:rFonts w:hint="eastAsia" w:ascii="仿宋" w:hAnsi="仿宋" w:eastAsia="仿宋"/>
          <w:color w:val="auto"/>
          <w:sz w:val="32"/>
          <w:szCs w:val="32"/>
        </w:rPr>
        <w:t>延续许可的要求审查。</w:t>
      </w:r>
    </w:p>
    <w:p>
      <w:pPr>
        <w:shd w:val="clear" w:color="auto" w:fill="FFFFFF" w:themeFill="background1"/>
        <w:spacing w:line="600" w:lineRule="exact"/>
        <w:ind w:firstLine="642" w:firstLineChars="200"/>
        <w:rPr>
          <w:rFonts w:ascii="仿宋" w:hAnsi="仿宋" w:eastAsia="仿宋"/>
          <w:color w:val="auto"/>
          <w:sz w:val="32"/>
          <w:szCs w:val="32"/>
        </w:rPr>
      </w:pPr>
      <w:r>
        <w:rPr>
          <w:rFonts w:hint="eastAsia" w:ascii="仿宋" w:hAnsi="仿宋" w:eastAsia="黑体"/>
          <w:b/>
          <w:color w:val="auto"/>
          <w:sz w:val="32"/>
          <w:szCs w:val="32"/>
        </w:rPr>
        <w:t>第十三条</w:t>
      </w:r>
      <w:r>
        <w:rPr>
          <w:rFonts w:hint="eastAsia" w:ascii="仿宋" w:hAnsi="仿宋" w:eastAsia="仿宋"/>
          <w:color w:val="auto"/>
          <w:sz w:val="32"/>
          <w:szCs w:val="32"/>
        </w:rPr>
        <w:t xml:space="preserve">  延续许可的申请材料审查应当包括以下内容： </w:t>
      </w:r>
    </w:p>
    <w:p>
      <w:pPr>
        <w:shd w:val="clear" w:color="auto" w:fill="FFFFFF" w:themeFill="background1"/>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（一）申请材料符合《办法》</w:t>
      </w:r>
      <w:r>
        <w:rPr>
          <w:rFonts w:hint="eastAsia" w:ascii="仿宋" w:hAnsi="仿宋" w:eastAsia="仿宋"/>
          <w:b/>
          <w:color w:val="auto"/>
          <w:sz w:val="32"/>
          <w:szCs w:val="32"/>
        </w:rPr>
        <w:t>第三十五条</w:t>
      </w:r>
      <w:r>
        <w:rPr>
          <w:rFonts w:hint="eastAsia" w:ascii="仿宋" w:hAnsi="仿宋" w:eastAsia="仿宋"/>
          <w:color w:val="auto"/>
          <w:sz w:val="32"/>
          <w:szCs w:val="32"/>
        </w:rPr>
        <w:t xml:space="preserve">要求； </w:t>
      </w:r>
    </w:p>
    <w:p>
      <w:pPr>
        <w:shd w:val="clear" w:color="auto" w:fill="FFFFFF" w:themeFill="background1"/>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（二）涉及延续事项的申请材料符合本通则</w:t>
      </w:r>
      <w:r>
        <w:rPr>
          <w:rFonts w:hint="eastAsia" w:ascii="仿宋" w:hAnsi="仿宋" w:eastAsia="仿宋"/>
          <w:b/>
          <w:color w:val="auto"/>
          <w:sz w:val="32"/>
          <w:szCs w:val="32"/>
        </w:rPr>
        <w:t>第九条</w:t>
      </w:r>
      <w:r>
        <w:rPr>
          <w:rFonts w:hint="eastAsia" w:ascii="仿宋" w:hAnsi="仿宋" w:eastAsia="仿宋"/>
          <w:color w:val="auto"/>
          <w:sz w:val="32"/>
          <w:szCs w:val="32"/>
        </w:rPr>
        <w:t>中关于规范性及合规性的要求。</w:t>
      </w:r>
    </w:p>
    <w:p>
      <w:pPr>
        <w:shd w:val="clear" w:color="auto" w:fill="FFFFFF" w:themeFill="background1"/>
        <w:spacing w:line="600" w:lineRule="exact"/>
        <w:ind w:firstLine="642" w:firstLineChars="200"/>
        <w:rPr>
          <w:rFonts w:ascii="仿宋" w:hAnsi="仿宋" w:eastAsia="仿宋"/>
          <w:color w:val="auto"/>
          <w:sz w:val="32"/>
          <w:szCs w:val="32"/>
        </w:rPr>
      </w:pPr>
      <w:r>
        <w:rPr>
          <w:rFonts w:hint="eastAsia" w:ascii="仿宋" w:hAnsi="仿宋" w:eastAsia="黑体"/>
          <w:b/>
          <w:color w:val="auto"/>
          <w:sz w:val="32"/>
          <w:szCs w:val="32"/>
        </w:rPr>
        <w:t>第十四条</w:t>
      </w:r>
      <w:r>
        <w:rPr>
          <w:rFonts w:hint="eastAsia" w:ascii="仿宋" w:hAnsi="仿宋" w:eastAsia="仿宋"/>
          <w:color w:val="auto"/>
          <w:sz w:val="32"/>
          <w:szCs w:val="32"/>
        </w:rPr>
        <w:t xml:space="preserve">  审批</w:t>
      </w:r>
      <w:r>
        <w:rPr>
          <w:rFonts w:ascii="仿宋" w:hAnsi="仿宋" w:eastAsia="仿宋"/>
          <w:color w:val="auto"/>
          <w:sz w:val="32"/>
          <w:szCs w:val="32"/>
        </w:rPr>
        <w:t>部门</w:t>
      </w:r>
      <w:r>
        <w:rPr>
          <w:rFonts w:hint="eastAsia" w:ascii="仿宋" w:hAnsi="仿宋" w:eastAsia="仿宋"/>
          <w:color w:val="auto"/>
          <w:sz w:val="32"/>
          <w:szCs w:val="32"/>
        </w:rPr>
        <w:t>应当自受理之日起在规定时限内作出是否需要现场核查的决定。需要现场核查的，应当组织现场核查；不需要现场核查的，应当按规定程序作出行政许可决定。</w:t>
      </w:r>
    </w:p>
    <w:p>
      <w:pPr>
        <w:shd w:val="clear" w:color="auto" w:fill="FFFFFF" w:themeFill="background1"/>
        <w:spacing w:line="600" w:lineRule="exact"/>
        <w:ind w:firstLine="642" w:firstLineChars="200"/>
        <w:rPr>
          <w:rFonts w:ascii="仿宋" w:hAnsi="仿宋" w:eastAsia="仿宋"/>
          <w:color w:val="auto"/>
          <w:sz w:val="32"/>
          <w:szCs w:val="32"/>
        </w:rPr>
      </w:pPr>
      <w:r>
        <w:rPr>
          <w:rFonts w:hint="eastAsia" w:ascii="仿宋" w:hAnsi="仿宋" w:eastAsia="黑体"/>
          <w:b/>
          <w:color w:val="auto"/>
          <w:sz w:val="32"/>
          <w:szCs w:val="32"/>
        </w:rPr>
        <w:t>第十五条</w:t>
      </w:r>
      <w:r>
        <w:rPr>
          <w:rFonts w:hint="eastAsia" w:ascii="仿宋" w:hAnsi="仿宋" w:eastAsia="仿宋"/>
          <w:color w:val="auto"/>
          <w:sz w:val="32"/>
          <w:szCs w:val="32"/>
        </w:rPr>
        <w:t xml:space="preserve">  下列情形，</w:t>
      </w:r>
      <w:r>
        <w:rPr>
          <w:rFonts w:hint="eastAsia" w:eastAsia="仿宋_GB2312"/>
          <w:color w:val="auto"/>
          <w:sz w:val="32"/>
          <w:szCs w:val="32"/>
        </w:rPr>
        <w:t>应当</w:t>
      </w:r>
      <w:r>
        <w:rPr>
          <w:rFonts w:hint="eastAsia" w:ascii="仿宋" w:hAnsi="仿宋" w:eastAsia="仿宋"/>
          <w:color w:val="auto"/>
          <w:sz w:val="32"/>
          <w:szCs w:val="32"/>
        </w:rPr>
        <w:t>组织现场核查：</w:t>
      </w:r>
    </w:p>
    <w:p>
      <w:pPr>
        <w:shd w:val="clear" w:color="auto" w:fill="FFFFFF" w:themeFill="background1"/>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（一）属于本通则</w:t>
      </w:r>
      <w:r>
        <w:rPr>
          <w:rFonts w:hint="eastAsia" w:ascii="仿宋" w:hAnsi="仿宋" w:eastAsia="仿宋"/>
          <w:b/>
          <w:color w:val="auto"/>
          <w:sz w:val="32"/>
          <w:szCs w:val="32"/>
        </w:rPr>
        <w:t>第八条</w:t>
      </w:r>
      <w:r>
        <w:rPr>
          <w:rFonts w:hint="eastAsia" w:ascii="仿宋" w:hAnsi="仿宋" w:eastAsia="仿宋"/>
          <w:color w:val="auto"/>
          <w:sz w:val="32"/>
          <w:szCs w:val="32"/>
        </w:rPr>
        <w:t>申请食品</w:t>
      </w:r>
      <w:r>
        <w:rPr>
          <w:rFonts w:ascii="仿宋" w:hAnsi="仿宋" w:eastAsia="仿宋"/>
          <w:color w:val="auto"/>
          <w:sz w:val="32"/>
          <w:szCs w:val="32"/>
        </w:rPr>
        <w:t>生产</w:t>
      </w:r>
      <w:r>
        <w:rPr>
          <w:rFonts w:hint="eastAsia" w:ascii="仿宋" w:hAnsi="仿宋" w:eastAsia="仿宋"/>
          <w:color w:val="auto"/>
          <w:sz w:val="32"/>
          <w:szCs w:val="32"/>
        </w:rPr>
        <w:t>许可情形的；</w:t>
      </w:r>
    </w:p>
    <w:p>
      <w:pPr>
        <w:shd w:val="clear" w:color="auto" w:fill="FFFFFF" w:themeFill="background1"/>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（二）属于本通则</w:t>
      </w:r>
      <w:r>
        <w:rPr>
          <w:rFonts w:hint="eastAsia" w:ascii="仿宋" w:hAnsi="仿宋" w:eastAsia="仿宋"/>
          <w:b/>
          <w:color w:val="auto"/>
          <w:sz w:val="32"/>
          <w:szCs w:val="32"/>
        </w:rPr>
        <w:t>第十条</w:t>
      </w:r>
      <w:r>
        <w:rPr>
          <w:rFonts w:hint="eastAsia" w:ascii="仿宋" w:hAnsi="仿宋" w:eastAsia="仿宋"/>
          <w:color w:val="auto"/>
          <w:sz w:val="32"/>
          <w:szCs w:val="32"/>
        </w:rPr>
        <w:t>变更许可情形第一至五项，可能影响食品安全的；</w:t>
      </w:r>
    </w:p>
    <w:p>
      <w:pPr>
        <w:shd w:val="clear" w:color="auto" w:fill="FFFFFF" w:themeFill="background1"/>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（三）属于本通则</w:t>
      </w:r>
      <w:r>
        <w:rPr>
          <w:rFonts w:hint="eastAsia" w:ascii="仿宋" w:hAnsi="仿宋" w:eastAsia="仿宋"/>
          <w:b/>
          <w:color w:val="auto"/>
          <w:sz w:val="32"/>
          <w:szCs w:val="32"/>
        </w:rPr>
        <w:t>第十二条</w:t>
      </w:r>
      <w:r>
        <w:rPr>
          <w:rFonts w:hint="eastAsia" w:ascii="仿宋" w:hAnsi="仿宋" w:eastAsia="仿宋"/>
          <w:color w:val="auto"/>
          <w:sz w:val="32"/>
          <w:szCs w:val="32"/>
        </w:rPr>
        <w:t>延续许可情形的，申请人声明生产条件或</w:t>
      </w:r>
      <w:r>
        <w:rPr>
          <w:rFonts w:ascii="仿宋" w:hAnsi="仿宋" w:eastAsia="仿宋"/>
          <w:color w:val="auto"/>
          <w:sz w:val="32"/>
          <w:szCs w:val="32"/>
        </w:rPr>
        <w:t>周边环境发生变化</w:t>
      </w:r>
      <w:r>
        <w:rPr>
          <w:rFonts w:hint="eastAsia" w:ascii="仿宋" w:hAnsi="仿宋" w:eastAsia="仿宋"/>
          <w:color w:val="auto"/>
          <w:sz w:val="32"/>
          <w:szCs w:val="32"/>
        </w:rPr>
        <w:t>，可能影响食品安全的；</w:t>
      </w:r>
    </w:p>
    <w:p>
      <w:pPr>
        <w:shd w:val="clear" w:color="auto" w:fill="FFFFFF" w:themeFill="background1"/>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（四）需要对申请材料内容、食品类别、与相关审查细则及执行标准要求相符情况进行核实的；</w:t>
      </w:r>
    </w:p>
    <w:p>
      <w:pPr>
        <w:shd w:val="clear" w:color="auto" w:fill="FFFFFF" w:themeFill="background1"/>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（五）因食品安全国家标准发生重大变化，国家和省级市场监督管理部门决定对已获得食品生产许可的食品生产者组织重新核查的；</w:t>
      </w:r>
    </w:p>
    <w:p>
      <w:pPr>
        <w:shd w:val="clear" w:color="auto" w:fill="FFFFFF" w:themeFill="background1"/>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（六）法律、法规和规章规定</w:t>
      </w:r>
      <w:r>
        <w:rPr>
          <w:rFonts w:hint="eastAsia" w:eastAsia="仿宋_GB2312"/>
          <w:color w:val="auto"/>
          <w:sz w:val="32"/>
          <w:szCs w:val="32"/>
        </w:rPr>
        <w:t>需要实施现场核查</w:t>
      </w:r>
      <w:r>
        <w:rPr>
          <w:rFonts w:hint="eastAsia" w:ascii="仿宋" w:hAnsi="仿宋" w:eastAsia="仿宋"/>
          <w:color w:val="auto"/>
          <w:sz w:val="32"/>
          <w:szCs w:val="32"/>
        </w:rPr>
        <w:t>的其他情形。</w:t>
      </w:r>
    </w:p>
    <w:p>
      <w:pPr>
        <w:shd w:val="clear" w:color="auto" w:fill="FFFFFF" w:themeFill="background1"/>
        <w:spacing w:line="600" w:lineRule="exact"/>
        <w:ind w:firstLine="642" w:firstLineChars="200"/>
        <w:rPr>
          <w:rFonts w:ascii="仿宋" w:hAnsi="仿宋" w:eastAsia="仿宋"/>
          <w:color w:val="auto"/>
          <w:sz w:val="32"/>
          <w:szCs w:val="32"/>
        </w:rPr>
      </w:pPr>
      <w:r>
        <w:rPr>
          <w:rFonts w:hint="eastAsia" w:ascii="仿宋" w:hAnsi="仿宋" w:eastAsia="黑体"/>
          <w:b/>
          <w:color w:val="auto"/>
          <w:sz w:val="32"/>
          <w:szCs w:val="32"/>
        </w:rPr>
        <w:t>第十六条</w:t>
      </w:r>
      <w:r>
        <w:rPr>
          <w:rFonts w:hint="eastAsia" w:ascii="仿宋" w:hAnsi="仿宋" w:eastAsia="仿宋"/>
          <w:color w:val="auto"/>
          <w:sz w:val="32"/>
          <w:szCs w:val="32"/>
        </w:rPr>
        <w:t xml:space="preserve">  下列情形，可以不再进行现场核查： </w:t>
      </w:r>
    </w:p>
    <w:p>
      <w:pPr>
        <w:shd w:val="clear" w:color="auto" w:fill="FFFFFF" w:themeFill="background1"/>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 xml:space="preserve">（一）特殊食品注册时已完成的核查内容； </w:t>
      </w:r>
    </w:p>
    <w:p>
      <w:pPr>
        <w:shd w:val="clear" w:color="auto" w:fill="FFFFFF" w:themeFill="background1"/>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（二）申请延续换证，申请人声明生产条件未发生变化的。</w:t>
      </w:r>
    </w:p>
    <w:p>
      <w:pPr>
        <w:pStyle w:val="2"/>
        <w:shd w:val="clear" w:color="auto" w:fill="FFFFFF" w:themeFill="background1"/>
        <w:spacing w:before="240" w:beforeLines="100" w:after="240" w:afterLines="100" w:line="240" w:lineRule="auto"/>
        <w:jc w:val="center"/>
        <w:rPr>
          <w:rFonts w:ascii="楷体" w:hAnsi="楷体" w:eastAsia="楷体" w:cs="方正楷体简体"/>
          <w:color w:val="auto"/>
          <w:sz w:val="36"/>
          <w:szCs w:val="20"/>
        </w:rPr>
      </w:pPr>
      <w:r>
        <w:rPr>
          <w:rFonts w:hint="eastAsia" w:ascii="楷体" w:hAnsi="楷体" w:eastAsia="楷体" w:cs="方正楷体简体"/>
          <w:color w:val="auto"/>
          <w:sz w:val="36"/>
          <w:szCs w:val="20"/>
        </w:rPr>
        <w:t>第三章</w:t>
      </w:r>
      <w:r>
        <w:rPr>
          <w:rFonts w:ascii="楷体" w:hAnsi="楷体" w:eastAsia="楷体" w:cs="方正楷体简体"/>
          <w:color w:val="auto"/>
          <w:sz w:val="36"/>
          <w:szCs w:val="20"/>
        </w:rPr>
        <w:t xml:space="preserve">  </w:t>
      </w:r>
      <w:r>
        <w:rPr>
          <w:rFonts w:hint="eastAsia" w:ascii="楷体" w:hAnsi="楷体" w:eastAsia="楷体" w:cs="方正楷体简体"/>
          <w:color w:val="auto"/>
          <w:sz w:val="36"/>
          <w:szCs w:val="20"/>
        </w:rPr>
        <w:t>现场核查</w:t>
      </w:r>
    </w:p>
    <w:p>
      <w:pPr>
        <w:shd w:val="clear" w:color="auto" w:fill="FFFFFF" w:themeFill="background1"/>
        <w:spacing w:line="600" w:lineRule="exact"/>
        <w:ind w:firstLine="642" w:firstLineChars="200"/>
        <w:rPr>
          <w:rFonts w:ascii="仿宋" w:hAnsi="仿宋" w:eastAsia="仿宋"/>
          <w:color w:val="auto"/>
          <w:sz w:val="32"/>
          <w:szCs w:val="32"/>
        </w:rPr>
      </w:pPr>
      <w:r>
        <w:rPr>
          <w:rFonts w:hint="eastAsia" w:ascii="仿宋" w:hAnsi="仿宋" w:eastAsia="黑体"/>
          <w:b/>
          <w:color w:val="auto"/>
          <w:sz w:val="32"/>
          <w:szCs w:val="32"/>
        </w:rPr>
        <w:t xml:space="preserve">第十七条 </w:t>
      </w:r>
      <w:r>
        <w:rPr>
          <w:rFonts w:hint="eastAsia" w:ascii="仿宋" w:hAnsi="仿宋" w:eastAsia="仿宋"/>
          <w:color w:val="auto"/>
          <w:sz w:val="32"/>
          <w:szCs w:val="32"/>
        </w:rPr>
        <w:t xml:space="preserve"> 审批</w:t>
      </w:r>
      <w:r>
        <w:rPr>
          <w:rFonts w:ascii="仿宋" w:hAnsi="仿宋" w:eastAsia="仿宋"/>
          <w:color w:val="auto"/>
          <w:sz w:val="32"/>
          <w:szCs w:val="32"/>
        </w:rPr>
        <w:t>部门</w:t>
      </w:r>
      <w:r>
        <w:rPr>
          <w:rFonts w:hint="eastAsia" w:ascii="仿宋" w:hAnsi="仿宋" w:eastAsia="仿宋"/>
          <w:color w:val="auto"/>
          <w:sz w:val="32"/>
          <w:szCs w:val="32"/>
        </w:rPr>
        <w:t>或</w:t>
      </w:r>
      <w:r>
        <w:rPr>
          <w:rFonts w:ascii="仿宋" w:hAnsi="仿宋" w:eastAsia="仿宋"/>
          <w:color w:val="auto"/>
          <w:sz w:val="32"/>
          <w:szCs w:val="32"/>
        </w:rPr>
        <w:t>其委托的下级市场监督管理部门</w:t>
      </w:r>
      <w:r>
        <w:rPr>
          <w:rFonts w:hint="eastAsia" w:ascii="仿宋" w:hAnsi="仿宋" w:eastAsia="仿宋"/>
          <w:color w:val="auto"/>
          <w:sz w:val="32"/>
          <w:szCs w:val="32"/>
        </w:rPr>
        <w:t>实施现场核查前，应当按规定时限及时将《食品生产许可现场核查通知书》送达申请人、实施现场核查的核查组及申请人的</w:t>
      </w:r>
      <w:r>
        <w:rPr>
          <w:rFonts w:ascii="仿宋" w:hAnsi="仿宋" w:eastAsia="仿宋"/>
          <w:color w:val="auto"/>
          <w:sz w:val="32"/>
          <w:szCs w:val="32"/>
        </w:rPr>
        <w:t>日常监管部门</w:t>
      </w:r>
      <w:r>
        <w:rPr>
          <w:rFonts w:hint="eastAsia" w:ascii="仿宋" w:hAnsi="仿宋" w:eastAsia="仿宋"/>
          <w:color w:val="auto"/>
          <w:sz w:val="32"/>
          <w:szCs w:val="32"/>
        </w:rPr>
        <w:t>。</w:t>
      </w:r>
    </w:p>
    <w:p>
      <w:pPr>
        <w:shd w:val="clear" w:color="auto" w:fill="FFFFFF" w:themeFill="background1"/>
        <w:spacing w:line="600" w:lineRule="exact"/>
        <w:ind w:firstLine="642" w:firstLineChars="200"/>
        <w:rPr>
          <w:rFonts w:ascii="仿宋" w:hAnsi="仿宋" w:eastAsia="仿宋"/>
          <w:color w:val="auto"/>
          <w:sz w:val="32"/>
          <w:szCs w:val="32"/>
        </w:rPr>
      </w:pPr>
      <w:r>
        <w:rPr>
          <w:rFonts w:hint="eastAsia" w:ascii="仿宋" w:hAnsi="仿宋" w:eastAsia="黑体"/>
          <w:b/>
          <w:color w:val="auto"/>
          <w:sz w:val="32"/>
          <w:szCs w:val="32"/>
        </w:rPr>
        <w:t xml:space="preserve">第十八条 </w:t>
      </w:r>
      <w:r>
        <w:rPr>
          <w:rFonts w:hint="eastAsia" w:ascii="仿宋" w:hAnsi="仿宋" w:eastAsia="仿宋"/>
          <w:color w:val="auto"/>
          <w:sz w:val="32"/>
          <w:szCs w:val="32"/>
        </w:rPr>
        <w:t xml:space="preserve"> 核查组由食品安全监管人员组成，根据需要可以聘请与</w:t>
      </w:r>
      <w:r>
        <w:rPr>
          <w:rFonts w:ascii="仿宋" w:hAnsi="仿宋" w:eastAsia="仿宋"/>
          <w:color w:val="auto"/>
          <w:sz w:val="32"/>
          <w:szCs w:val="32"/>
        </w:rPr>
        <w:t>申请人无业务关系或者商业利益的</w:t>
      </w:r>
      <w:r>
        <w:rPr>
          <w:rFonts w:hint="eastAsia" w:ascii="仿宋" w:hAnsi="仿宋" w:eastAsia="仿宋"/>
          <w:color w:val="auto"/>
          <w:sz w:val="32"/>
          <w:szCs w:val="32"/>
        </w:rPr>
        <w:t>专业技术人员作为核查人员参加现场核查。</w:t>
      </w:r>
    </w:p>
    <w:p>
      <w:pPr>
        <w:shd w:val="clear" w:color="auto" w:fill="FFFFFF" w:themeFill="background1"/>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食品安全监管人员包括</w:t>
      </w:r>
      <w:r>
        <w:rPr>
          <w:rFonts w:hint="eastAsia" w:ascii="仿宋" w:hAnsi="仿宋" w:eastAsia="仿宋"/>
          <w:color w:val="auto"/>
          <w:sz w:val="32"/>
          <w:szCs w:val="32"/>
          <w:lang w:bidi="ar"/>
        </w:rPr>
        <w:t>各级市场监督管理部门承担食品生产监管执法职责的公职人员</w:t>
      </w:r>
      <w:r>
        <w:rPr>
          <w:rFonts w:hint="eastAsia" w:ascii="仿宋" w:hAnsi="仿宋" w:eastAsia="仿宋"/>
          <w:color w:val="auto"/>
          <w:sz w:val="32"/>
          <w:szCs w:val="32"/>
        </w:rPr>
        <w:t>、</w:t>
      </w:r>
      <w:r>
        <w:rPr>
          <w:rFonts w:hint="eastAsia" w:ascii="仿宋" w:hAnsi="仿宋" w:eastAsia="仿宋"/>
          <w:color w:val="auto"/>
          <w:sz w:val="32"/>
          <w:szCs w:val="32"/>
          <w:lang w:bidi="ar"/>
        </w:rPr>
        <w:t>《中华人民共和国食品安全法实施条例》</w:t>
      </w:r>
      <w:r>
        <w:rPr>
          <w:rFonts w:hint="eastAsia" w:ascii="仿宋" w:hAnsi="仿宋" w:eastAsia="仿宋"/>
          <w:color w:val="auto"/>
          <w:sz w:val="32"/>
          <w:szCs w:val="32"/>
        </w:rPr>
        <w:t>第六十条</w:t>
      </w:r>
      <w:r>
        <w:rPr>
          <w:rFonts w:hint="eastAsia" w:ascii="仿宋" w:hAnsi="仿宋" w:eastAsia="仿宋"/>
          <w:color w:val="auto"/>
          <w:sz w:val="32"/>
          <w:szCs w:val="32"/>
          <w:lang w:bidi="ar"/>
        </w:rPr>
        <w:t>规定的职业化检查员，以及各级</w:t>
      </w:r>
      <w:r>
        <w:rPr>
          <w:rFonts w:hint="eastAsia" w:ascii="仿宋" w:hAnsi="仿宋" w:eastAsia="仿宋"/>
          <w:color w:val="auto"/>
          <w:sz w:val="32"/>
          <w:szCs w:val="32"/>
        </w:rPr>
        <w:t>市场监督管理部门根据需要长期聘用的专业技术人员等。</w:t>
      </w:r>
    </w:p>
    <w:p>
      <w:pPr>
        <w:shd w:val="clear" w:color="auto" w:fill="FFFFFF" w:themeFill="background1"/>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核查组不得少于2人，实行组长负责制，原则上，实施现场核查的市场监督管理部门应当指定核查组</w:t>
      </w:r>
      <w:r>
        <w:rPr>
          <w:rFonts w:hint="eastAsia" w:ascii="仿宋" w:hAnsi="仿宋" w:eastAsia="仿宋"/>
          <w:color w:val="auto"/>
          <w:sz w:val="32"/>
          <w:szCs w:val="32"/>
          <w:lang w:bidi="ar"/>
        </w:rPr>
        <w:t>中承担食品生产监管执法职责的公职人员担任</w:t>
      </w:r>
      <w:r>
        <w:rPr>
          <w:rFonts w:hint="eastAsia" w:ascii="仿宋" w:hAnsi="仿宋" w:eastAsia="仿宋"/>
          <w:color w:val="auto"/>
          <w:sz w:val="32"/>
          <w:szCs w:val="32"/>
        </w:rPr>
        <w:t>组长</w:t>
      </w:r>
      <w:r>
        <w:rPr>
          <w:rFonts w:hint="eastAsia" w:ascii="仿宋" w:hAnsi="仿宋" w:eastAsia="仿宋"/>
          <w:color w:val="auto"/>
          <w:sz w:val="32"/>
          <w:szCs w:val="32"/>
          <w:lang w:bidi="ar"/>
        </w:rPr>
        <w:t>。</w:t>
      </w:r>
    </w:p>
    <w:p>
      <w:pPr>
        <w:shd w:val="clear" w:color="auto" w:fill="FFFFFF" w:themeFill="background1"/>
        <w:spacing w:line="600" w:lineRule="exact"/>
        <w:ind w:firstLine="642" w:firstLineChars="200"/>
        <w:rPr>
          <w:rFonts w:ascii="仿宋" w:hAnsi="仿宋" w:eastAsia="仿宋"/>
          <w:color w:val="auto"/>
          <w:sz w:val="32"/>
          <w:szCs w:val="32"/>
        </w:rPr>
      </w:pPr>
      <w:r>
        <w:rPr>
          <w:rFonts w:hint="eastAsia" w:ascii="仿宋" w:hAnsi="仿宋" w:eastAsia="黑体"/>
          <w:b/>
          <w:color w:val="auto"/>
          <w:sz w:val="32"/>
          <w:szCs w:val="32"/>
        </w:rPr>
        <w:t>第十九条</w:t>
      </w:r>
      <w:r>
        <w:rPr>
          <w:rFonts w:hint="eastAsia" w:ascii="仿宋" w:hAnsi="仿宋" w:eastAsia="仿宋"/>
          <w:color w:val="auto"/>
          <w:sz w:val="32"/>
          <w:szCs w:val="32"/>
        </w:rPr>
        <w:t xml:space="preserve">  核查组应当确保核查客观、公正、真实，确保核查报告等文书和记录完整、准确、规范。</w:t>
      </w:r>
    </w:p>
    <w:p>
      <w:pPr>
        <w:shd w:val="clear" w:color="auto" w:fill="FFFFFF" w:themeFill="background1"/>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核查组组长负责组织现场核查、协调核查进度、汇总核查结论、上报核查材料等工作，</w:t>
      </w:r>
      <w:r>
        <w:rPr>
          <w:rFonts w:ascii="仿宋" w:hAnsi="仿宋" w:eastAsia="仿宋"/>
          <w:color w:val="auto"/>
          <w:sz w:val="32"/>
          <w:szCs w:val="32"/>
        </w:rPr>
        <w:t>对核查结论负责</w:t>
      </w:r>
      <w:r>
        <w:rPr>
          <w:rFonts w:hint="eastAsia" w:ascii="仿宋" w:hAnsi="仿宋" w:eastAsia="仿宋"/>
          <w:color w:val="auto"/>
          <w:sz w:val="32"/>
          <w:szCs w:val="32"/>
        </w:rPr>
        <w:t>。</w:t>
      </w:r>
    </w:p>
    <w:p>
      <w:pPr>
        <w:shd w:val="clear" w:color="auto" w:fill="FFFFFF" w:themeFill="background1"/>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核查组成员对现场核查分工范围内的核查评分负责，对现场核查结论有不同意见时，及时与核查组组长研究解决，仍有不同意见时，可以在现场核查结束后1个工作日内书面向审批</w:t>
      </w:r>
      <w:r>
        <w:rPr>
          <w:rFonts w:ascii="仿宋" w:hAnsi="仿宋" w:eastAsia="仿宋"/>
          <w:color w:val="auto"/>
          <w:sz w:val="32"/>
          <w:szCs w:val="32"/>
        </w:rPr>
        <w:t>部门</w:t>
      </w:r>
      <w:r>
        <w:rPr>
          <w:rFonts w:hint="eastAsia" w:ascii="仿宋" w:hAnsi="仿宋" w:eastAsia="仿宋"/>
          <w:color w:val="auto"/>
          <w:sz w:val="32"/>
          <w:szCs w:val="32"/>
        </w:rPr>
        <w:t>报告。</w:t>
      </w:r>
    </w:p>
    <w:p>
      <w:pPr>
        <w:shd w:val="clear" w:color="auto" w:fill="FFFFFF" w:themeFill="background1"/>
        <w:spacing w:line="600" w:lineRule="exact"/>
        <w:ind w:firstLine="642" w:firstLineChars="200"/>
        <w:rPr>
          <w:rFonts w:ascii="仿宋" w:hAnsi="仿宋" w:eastAsia="仿宋"/>
          <w:color w:val="auto"/>
          <w:sz w:val="32"/>
          <w:szCs w:val="32"/>
        </w:rPr>
      </w:pPr>
      <w:r>
        <w:rPr>
          <w:rFonts w:hint="eastAsia" w:ascii="仿宋" w:hAnsi="仿宋" w:eastAsia="黑体"/>
          <w:b/>
          <w:color w:val="auto"/>
          <w:sz w:val="32"/>
          <w:szCs w:val="32"/>
        </w:rPr>
        <w:t>第二十条</w:t>
      </w:r>
      <w:r>
        <w:rPr>
          <w:rFonts w:hint="eastAsia" w:ascii="仿宋" w:hAnsi="仿宋" w:eastAsia="仿宋"/>
          <w:color w:val="auto"/>
          <w:sz w:val="32"/>
          <w:szCs w:val="32"/>
        </w:rPr>
        <w:t xml:space="preserve">  申请人的</w:t>
      </w:r>
      <w:r>
        <w:rPr>
          <w:rFonts w:ascii="仿宋" w:hAnsi="仿宋" w:eastAsia="仿宋"/>
          <w:color w:val="auto"/>
          <w:sz w:val="32"/>
          <w:szCs w:val="32"/>
        </w:rPr>
        <w:t>日常监管部门</w:t>
      </w:r>
      <w:r>
        <w:rPr>
          <w:rFonts w:hint="eastAsia" w:ascii="仿宋" w:hAnsi="仿宋" w:eastAsia="仿宋"/>
          <w:color w:val="auto"/>
          <w:sz w:val="32"/>
          <w:szCs w:val="32"/>
        </w:rPr>
        <w:t>应当派出监管人员作为观察员参加现场核查工作。核查组成员包括上述人员时，可以不指派观察员。</w:t>
      </w:r>
    </w:p>
    <w:p>
      <w:pPr>
        <w:shd w:val="clear" w:color="auto" w:fill="FFFFFF" w:themeFill="background1"/>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观察员应当支持、配合并全程观察核查组的现场核查工作，但不参与核查评分及核查结论的判定。</w:t>
      </w:r>
    </w:p>
    <w:p>
      <w:pPr>
        <w:shd w:val="clear" w:color="auto" w:fill="FFFFFF" w:themeFill="background1"/>
        <w:spacing w:line="600" w:lineRule="exact"/>
        <w:ind w:firstLine="640" w:firstLineChars="200"/>
        <w:rPr>
          <w:rFonts w:ascii="仿宋" w:hAnsi="仿宋" w:eastAsia="仿宋"/>
          <w:color w:val="auto"/>
        </w:rPr>
      </w:pPr>
      <w:r>
        <w:rPr>
          <w:rFonts w:hint="eastAsia" w:ascii="仿宋" w:hAnsi="仿宋" w:eastAsia="仿宋"/>
          <w:color w:val="auto"/>
          <w:sz w:val="32"/>
          <w:szCs w:val="32"/>
        </w:rPr>
        <w:t>观察员对现场核查程序、过程、结果有异议的，可在现场核查结束后1个工作日内书面向审批</w:t>
      </w:r>
      <w:r>
        <w:rPr>
          <w:rFonts w:ascii="仿宋" w:hAnsi="仿宋" w:eastAsia="仿宋"/>
          <w:color w:val="auto"/>
          <w:sz w:val="32"/>
          <w:szCs w:val="32"/>
        </w:rPr>
        <w:t>部门</w:t>
      </w:r>
      <w:r>
        <w:rPr>
          <w:rFonts w:hint="eastAsia" w:ascii="仿宋" w:hAnsi="仿宋" w:eastAsia="仿宋"/>
          <w:color w:val="auto"/>
          <w:sz w:val="32"/>
          <w:szCs w:val="32"/>
        </w:rPr>
        <w:t>报告。</w:t>
      </w:r>
    </w:p>
    <w:p>
      <w:pPr>
        <w:shd w:val="clear" w:color="auto" w:fill="FFFFFF" w:themeFill="background1"/>
        <w:spacing w:line="600" w:lineRule="exact"/>
        <w:ind w:firstLine="642" w:firstLineChars="200"/>
        <w:rPr>
          <w:rFonts w:ascii="仿宋" w:hAnsi="仿宋" w:eastAsia="仿宋"/>
          <w:color w:val="auto"/>
          <w:sz w:val="32"/>
          <w:szCs w:val="32"/>
        </w:rPr>
      </w:pPr>
      <w:r>
        <w:rPr>
          <w:rFonts w:hint="eastAsia" w:ascii="仿宋" w:hAnsi="仿宋" w:eastAsia="黑体"/>
          <w:b/>
          <w:color w:val="auto"/>
          <w:sz w:val="32"/>
          <w:szCs w:val="32"/>
        </w:rPr>
        <w:t>第二十一条</w:t>
      </w:r>
      <w:r>
        <w:rPr>
          <w:rFonts w:hint="eastAsia" w:ascii="仿宋" w:hAnsi="仿宋" w:eastAsia="仿宋"/>
          <w:color w:val="auto"/>
          <w:sz w:val="32"/>
          <w:szCs w:val="32"/>
        </w:rPr>
        <w:t xml:space="preserve">  核查组进入申请人生产场所实施现场核查前，应当召开首次会议。核查组长向申请人介绍核查组成员、核查目的、依据、内容、程序、安排及要求等，并代表核查组作出保密承诺和</w:t>
      </w:r>
      <w:r>
        <w:rPr>
          <w:rFonts w:ascii="仿宋" w:hAnsi="仿宋" w:eastAsia="仿宋"/>
          <w:color w:val="auto"/>
          <w:sz w:val="32"/>
          <w:szCs w:val="32"/>
        </w:rPr>
        <w:t>廉洁自律声明</w:t>
      </w:r>
      <w:r>
        <w:rPr>
          <w:rFonts w:hint="eastAsia" w:ascii="仿宋" w:hAnsi="仿宋" w:eastAsia="仿宋"/>
          <w:color w:val="auto"/>
          <w:sz w:val="32"/>
          <w:szCs w:val="32"/>
        </w:rPr>
        <w:t>。</w:t>
      </w:r>
    </w:p>
    <w:p>
      <w:pPr>
        <w:shd w:val="clear" w:color="auto" w:fill="FFFFFF" w:themeFill="background1"/>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参加首次会议人员应当包括申请人的法定代表人（负责人）或者其代理人、相关食品安全管理人员、专业技术人员，核查组成员及观察员，并在《食品、食品添加剂生产许可现场核查首末次会议签到表》（附件</w:t>
      </w:r>
      <w:r>
        <w:rPr>
          <w:rFonts w:ascii="仿宋" w:hAnsi="仿宋" w:eastAsia="仿宋"/>
          <w:color w:val="auto"/>
          <w:sz w:val="32"/>
          <w:szCs w:val="32"/>
        </w:rPr>
        <w:t>1</w:t>
      </w:r>
      <w:r>
        <w:rPr>
          <w:rFonts w:hint="eastAsia" w:ascii="仿宋" w:hAnsi="仿宋" w:eastAsia="仿宋"/>
          <w:color w:val="auto"/>
          <w:sz w:val="32"/>
          <w:szCs w:val="32"/>
        </w:rPr>
        <w:t>）上签到。</w:t>
      </w:r>
    </w:p>
    <w:p>
      <w:pPr>
        <w:shd w:val="clear" w:color="auto" w:fill="FFFFFF" w:themeFill="background1"/>
        <w:spacing w:line="600" w:lineRule="exact"/>
        <w:ind w:firstLine="642" w:firstLineChars="200"/>
        <w:rPr>
          <w:rFonts w:ascii="仿宋" w:hAnsi="仿宋" w:eastAsia="仿宋"/>
          <w:color w:val="auto"/>
          <w:sz w:val="32"/>
          <w:szCs w:val="32"/>
        </w:rPr>
      </w:pPr>
      <w:r>
        <w:rPr>
          <w:rFonts w:hint="eastAsia" w:ascii="仿宋" w:hAnsi="仿宋" w:eastAsia="黑体"/>
          <w:b/>
          <w:color w:val="auto"/>
          <w:sz w:val="32"/>
          <w:szCs w:val="32"/>
        </w:rPr>
        <w:t>第二十二条</w:t>
      </w:r>
      <w:r>
        <w:rPr>
          <w:rFonts w:hint="eastAsia" w:ascii="仿宋" w:hAnsi="仿宋" w:eastAsia="仿宋"/>
          <w:color w:val="auto"/>
          <w:sz w:val="32"/>
          <w:szCs w:val="32"/>
        </w:rPr>
        <w:t xml:space="preserve">  核查组应当依据《食品、食品添加剂生产许可现场核查评分记录表》（附件</w:t>
      </w:r>
      <w:r>
        <w:rPr>
          <w:rFonts w:ascii="仿宋" w:hAnsi="仿宋" w:eastAsia="仿宋"/>
          <w:color w:val="auto"/>
          <w:sz w:val="32"/>
          <w:szCs w:val="32"/>
        </w:rPr>
        <w:t>2</w:t>
      </w:r>
      <w:r>
        <w:rPr>
          <w:rFonts w:hint="eastAsia" w:ascii="仿宋" w:hAnsi="仿宋" w:eastAsia="仿宋"/>
          <w:color w:val="auto"/>
          <w:sz w:val="32"/>
          <w:szCs w:val="32"/>
        </w:rPr>
        <w:t>）所列核查项目，采取核查现场、查阅文件、核对材料及询问相关人员等方法实施现场核查。</w:t>
      </w:r>
    </w:p>
    <w:p>
      <w:pPr>
        <w:shd w:val="clear" w:color="auto" w:fill="FFFFFF" w:themeFill="background1"/>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必要时，核查组可以对申请人的食品安全管理人员、专业技术人员进行抽查考核。</w:t>
      </w:r>
    </w:p>
    <w:p>
      <w:pPr>
        <w:shd w:val="clear" w:color="auto" w:fill="FFFFFF" w:themeFill="background1"/>
        <w:spacing w:line="600" w:lineRule="exact"/>
        <w:ind w:firstLine="642" w:firstLineChars="200"/>
        <w:rPr>
          <w:rFonts w:ascii="仿宋" w:hAnsi="仿宋" w:eastAsia="仿宋"/>
          <w:color w:val="auto"/>
          <w:sz w:val="32"/>
          <w:szCs w:val="32"/>
        </w:rPr>
      </w:pPr>
      <w:r>
        <w:rPr>
          <w:rFonts w:hint="eastAsia" w:ascii="仿宋" w:hAnsi="仿宋" w:eastAsia="黑体"/>
          <w:b/>
          <w:color w:val="auto"/>
          <w:sz w:val="32"/>
          <w:szCs w:val="32"/>
        </w:rPr>
        <w:t>第二十三条</w:t>
      </w:r>
      <w:r>
        <w:rPr>
          <w:rFonts w:hint="eastAsia" w:ascii="仿宋" w:hAnsi="仿宋" w:eastAsia="仿宋"/>
          <w:color w:val="auto"/>
          <w:sz w:val="32"/>
          <w:szCs w:val="32"/>
        </w:rPr>
        <w:t xml:space="preserve">  根据现场核查情况，核查组长应当适时召集核查人员共同研究各自负责核查项目的评分意见，汇总核查情况，形成初步核查意见，并与申请人沟通。</w:t>
      </w:r>
    </w:p>
    <w:p>
      <w:pPr>
        <w:shd w:val="clear" w:color="auto" w:fill="FFFFFF" w:themeFill="background1"/>
        <w:spacing w:line="600" w:lineRule="exact"/>
        <w:ind w:firstLine="642" w:firstLineChars="200"/>
        <w:rPr>
          <w:rFonts w:ascii="仿宋" w:hAnsi="仿宋" w:eastAsia="仿宋"/>
          <w:color w:val="auto"/>
          <w:sz w:val="32"/>
          <w:szCs w:val="32"/>
        </w:rPr>
      </w:pPr>
      <w:r>
        <w:rPr>
          <w:rFonts w:hint="eastAsia" w:ascii="仿宋" w:hAnsi="仿宋" w:eastAsia="黑体"/>
          <w:b/>
          <w:color w:val="auto"/>
          <w:sz w:val="32"/>
          <w:szCs w:val="32"/>
        </w:rPr>
        <w:t>第二十四条</w:t>
      </w:r>
      <w:r>
        <w:rPr>
          <w:rFonts w:ascii="仿宋" w:hAnsi="仿宋" w:eastAsia="仿宋"/>
          <w:color w:val="auto"/>
          <w:sz w:val="32"/>
          <w:szCs w:val="32"/>
        </w:rPr>
        <w:t xml:space="preserve">  核查组对核查情况和申请人的反馈意见会商后，</w:t>
      </w:r>
      <w:r>
        <w:rPr>
          <w:rFonts w:hint="eastAsia" w:ascii="仿宋" w:hAnsi="仿宋" w:eastAsia="仿宋"/>
          <w:color w:val="auto"/>
          <w:sz w:val="32"/>
          <w:szCs w:val="32"/>
        </w:rPr>
        <w:t>应当根据不同类别名称的食品现场核查情况分别评分判定，形成核查结论，并汇总填写在《食品、食品添加剂生产许可现场核查报告》（附件</w:t>
      </w:r>
      <w:r>
        <w:rPr>
          <w:rFonts w:ascii="仿宋" w:hAnsi="仿宋" w:eastAsia="仿宋"/>
          <w:color w:val="auto"/>
          <w:sz w:val="32"/>
          <w:szCs w:val="32"/>
        </w:rPr>
        <w:t>3）</w:t>
      </w:r>
      <w:r>
        <w:rPr>
          <w:rFonts w:hint="eastAsia" w:ascii="仿宋" w:hAnsi="仿宋" w:eastAsia="仿宋"/>
          <w:color w:val="auto"/>
          <w:sz w:val="32"/>
          <w:szCs w:val="32"/>
        </w:rPr>
        <w:t>中。</w:t>
      </w:r>
    </w:p>
    <w:p>
      <w:pPr>
        <w:shd w:val="clear" w:color="auto" w:fill="FFFFFF" w:themeFill="background1"/>
        <w:spacing w:line="600" w:lineRule="exact"/>
        <w:ind w:firstLine="642" w:firstLineChars="200"/>
        <w:rPr>
          <w:rFonts w:ascii="仿宋" w:hAnsi="仿宋" w:eastAsia="仿宋"/>
          <w:color w:val="auto"/>
          <w:sz w:val="32"/>
          <w:szCs w:val="32"/>
        </w:rPr>
      </w:pPr>
      <w:r>
        <w:rPr>
          <w:rFonts w:hint="eastAsia" w:ascii="仿宋" w:hAnsi="仿宋" w:eastAsia="黑体"/>
          <w:b/>
          <w:color w:val="auto"/>
          <w:sz w:val="32"/>
          <w:szCs w:val="32"/>
        </w:rPr>
        <w:t>第二十五条</w:t>
      </w:r>
      <w:r>
        <w:rPr>
          <w:rFonts w:ascii="仿宋" w:hAnsi="仿宋" w:eastAsia="仿宋"/>
          <w:color w:val="auto"/>
          <w:sz w:val="32"/>
          <w:szCs w:val="32"/>
        </w:rPr>
        <w:t xml:space="preserve">  核查组</w:t>
      </w:r>
      <w:r>
        <w:rPr>
          <w:rFonts w:hint="eastAsia" w:ascii="仿宋" w:hAnsi="仿宋" w:eastAsia="仿宋"/>
          <w:color w:val="auto"/>
          <w:sz w:val="32"/>
          <w:szCs w:val="32"/>
        </w:rPr>
        <w:t>确定核查结论后，应当召开末次会议。核查组长宣布核查结论，组织核查人员及申请人在《食品、食品添加剂生产许可现场核查评分记录表》《食品、食品添加剂生产许可现场核查报告》上签署意见并签名、盖章。观察员应当在《食品、食品添加剂生产许可现场核查报告》上签字确认。</w:t>
      </w:r>
    </w:p>
    <w:p>
      <w:pPr>
        <w:shd w:val="clear" w:color="auto" w:fill="FFFFFF" w:themeFill="background1"/>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《食品、食品添加剂生产许可现场核查报告》应当一式两份，现场交申请人留存一份，核查组留存一份。</w:t>
      </w:r>
    </w:p>
    <w:p>
      <w:pPr>
        <w:shd w:val="clear" w:color="auto" w:fill="FFFFFF" w:themeFill="background1"/>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申请人拒绝签名、盖章的，核查组长应当在《食品、食品添加剂生产许可现场核查报告》上注明情况。</w:t>
      </w:r>
    </w:p>
    <w:p>
      <w:pPr>
        <w:shd w:val="clear" w:color="auto" w:fill="FFFFFF" w:themeFill="background1"/>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参加末次会议人员应当包括申请人的法定代表人（负责人）或者其代理人、相关食品安全管理人员、专业技术人员，核查组成员及观察员，并在《食品、食品添加剂生产许可现场核查首末次会议签到表》</w:t>
      </w:r>
      <w:r>
        <w:rPr>
          <w:rFonts w:ascii="仿宋" w:hAnsi="仿宋" w:eastAsia="仿宋"/>
          <w:color w:val="auto"/>
          <w:sz w:val="32"/>
          <w:szCs w:val="32"/>
        </w:rPr>
        <w:t>上签到。</w:t>
      </w:r>
    </w:p>
    <w:p>
      <w:pPr>
        <w:shd w:val="clear" w:color="auto" w:fill="FFFFFF" w:themeFill="background1"/>
        <w:spacing w:line="600" w:lineRule="exact"/>
        <w:ind w:firstLine="642" w:firstLineChars="200"/>
        <w:rPr>
          <w:rFonts w:ascii="仿宋" w:hAnsi="仿宋" w:eastAsia="仿宋"/>
          <w:color w:val="auto"/>
          <w:sz w:val="32"/>
          <w:szCs w:val="32"/>
        </w:rPr>
      </w:pPr>
      <w:r>
        <w:rPr>
          <w:rFonts w:hint="eastAsia" w:ascii="仿宋" w:hAnsi="仿宋" w:eastAsia="黑体"/>
          <w:b/>
          <w:color w:val="auto"/>
          <w:sz w:val="32"/>
          <w:szCs w:val="32"/>
        </w:rPr>
        <w:t>第二十六条</w:t>
      </w:r>
      <w:r>
        <w:rPr>
          <w:rFonts w:ascii="仿宋" w:hAnsi="仿宋" w:eastAsia="黑体"/>
          <w:b/>
          <w:color w:val="auto"/>
          <w:sz w:val="32"/>
          <w:szCs w:val="32"/>
        </w:rPr>
        <w:t xml:space="preserve">  </w:t>
      </w:r>
      <w:r>
        <w:rPr>
          <w:rFonts w:hint="eastAsia" w:ascii="仿宋" w:hAnsi="仿宋" w:eastAsia="仿宋"/>
          <w:color w:val="auto"/>
          <w:sz w:val="32"/>
          <w:szCs w:val="32"/>
        </w:rPr>
        <w:t>现场核查范围主要包括生产场所、设备设施、设备布局和工艺流程、人员管理、管理制度及其执行情况，对</w:t>
      </w:r>
      <w:r>
        <w:rPr>
          <w:rFonts w:ascii="仿宋" w:hAnsi="仿宋" w:eastAsia="仿宋"/>
          <w:color w:val="auto"/>
          <w:sz w:val="32"/>
          <w:szCs w:val="32"/>
        </w:rPr>
        <w:t>首次</w:t>
      </w:r>
      <w:r>
        <w:rPr>
          <w:rFonts w:hint="eastAsia" w:ascii="仿宋" w:hAnsi="仿宋" w:eastAsia="仿宋"/>
          <w:color w:val="auto"/>
          <w:sz w:val="32"/>
          <w:szCs w:val="32"/>
        </w:rPr>
        <w:t>申请</w:t>
      </w:r>
      <w:r>
        <w:rPr>
          <w:rFonts w:ascii="仿宋" w:hAnsi="仿宋" w:eastAsia="仿宋"/>
          <w:color w:val="auto"/>
          <w:sz w:val="32"/>
          <w:szCs w:val="32"/>
        </w:rPr>
        <w:t>许可或者</w:t>
      </w:r>
      <w:r>
        <w:rPr>
          <w:rFonts w:hint="eastAsia" w:ascii="仿宋" w:hAnsi="仿宋" w:eastAsia="仿宋"/>
          <w:color w:val="auto"/>
          <w:sz w:val="32"/>
          <w:szCs w:val="32"/>
        </w:rPr>
        <w:t>增加</w:t>
      </w:r>
      <w:r>
        <w:rPr>
          <w:rFonts w:ascii="仿宋" w:hAnsi="仿宋" w:eastAsia="仿宋"/>
          <w:color w:val="auto"/>
          <w:sz w:val="32"/>
          <w:szCs w:val="32"/>
        </w:rPr>
        <w:t>食品类别</w:t>
      </w:r>
      <w:r>
        <w:rPr>
          <w:rFonts w:hint="eastAsia" w:ascii="仿宋" w:hAnsi="仿宋" w:eastAsia="仿宋"/>
          <w:color w:val="auto"/>
          <w:sz w:val="32"/>
          <w:szCs w:val="32"/>
        </w:rPr>
        <w:t>的</w:t>
      </w:r>
      <w:r>
        <w:rPr>
          <w:rFonts w:ascii="仿宋" w:hAnsi="仿宋" w:eastAsia="仿宋"/>
          <w:color w:val="auto"/>
          <w:sz w:val="32"/>
          <w:szCs w:val="32"/>
        </w:rPr>
        <w:t>变更许可的，</w:t>
      </w:r>
      <w:r>
        <w:rPr>
          <w:rFonts w:hint="eastAsia" w:ascii="仿宋" w:hAnsi="仿宋" w:eastAsia="仿宋"/>
          <w:color w:val="auto"/>
          <w:sz w:val="32"/>
          <w:szCs w:val="32"/>
        </w:rPr>
        <w:t>应当按照相应审查细则和执行标准的要求核查试制食品的检验报告。</w:t>
      </w:r>
    </w:p>
    <w:p>
      <w:pPr>
        <w:shd w:val="clear" w:color="auto" w:fill="FFFFFF" w:themeFill="background1"/>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审查细则对现场核查相关内容进行细化或者有特殊要求的，应当一并核查并在《食品、食品添加剂生产许可现场核查评分记录表》中记录。</w:t>
      </w:r>
    </w:p>
    <w:p>
      <w:pPr>
        <w:shd w:val="clear" w:color="auto" w:fill="FFFFFF" w:themeFill="background1"/>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申请变更及延续的，申请人声明其生产条件及周边环境发生变化的，应当就变化情况实施现场核查。</w:t>
      </w:r>
    </w:p>
    <w:p>
      <w:pPr>
        <w:shd w:val="clear" w:color="auto" w:fill="FFFFFF" w:themeFill="background1"/>
        <w:spacing w:line="600" w:lineRule="exact"/>
        <w:ind w:firstLine="642" w:firstLineChars="200"/>
        <w:rPr>
          <w:rFonts w:ascii="仿宋" w:hAnsi="仿宋" w:eastAsia="仿宋"/>
          <w:color w:val="auto"/>
          <w:sz w:val="32"/>
          <w:szCs w:val="32"/>
        </w:rPr>
      </w:pPr>
      <w:r>
        <w:rPr>
          <w:rFonts w:hint="eastAsia" w:ascii="仿宋" w:hAnsi="仿宋" w:eastAsia="黑体"/>
          <w:b/>
          <w:color w:val="auto"/>
          <w:sz w:val="32"/>
          <w:szCs w:val="32"/>
        </w:rPr>
        <w:t>第二十七条</w:t>
      </w:r>
      <w:r>
        <w:rPr>
          <w:rFonts w:ascii="仿宋" w:hAnsi="仿宋" w:eastAsia="黑体"/>
          <w:b/>
          <w:color w:val="auto"/>
          <w:sz w:val="32"/>
          <w:szCs w:val="32"/>
        </w:rPr>
        <w:t xml:space="preserve">  </w:t>
      </w:r>
      <w:r>
        <w:rPr>
          <w:rFonts w:hint="eastAsia" w:ascii="仿宋" w:hAnsi="仿宋" w:eastAsia="仿宋"/>
          <w:color w:val="auto"/>
          <w:sz w:val="32"/>
          <w:szCs w:val="32"/>
        </w:rPr>
        <w:t>现场核查项目按照得分判定为符合要求、基本符合要求、不符合要求3个</w:t>
      </w:r>
      <w:r>
        <w:rPr>
          <w:rFonts w:ascii="仿宋" w:hAnsi="仿宋" w:eastAsia="仿宋"/>
          <w:color w:val="auto"/>
          <w:sz w:val="32"/>
          <w:szCs w:val="32"/>
        </w:rPr>
        <w:t>等级</w:t>
      </w:r>
      <w:r>
        <w:rPr>
          <w:rFonts w:hint="eastAsia" w:ascii="仿宋" w:hAnsi="仿宋" w:eastAsia="仿宋"/>
          <w:color w:val="auto"/>
          <w:sz w:val="32"/>
          <w:szCs w:val="32"/>
        </w:rPr>
        <w:t>。符合要求，是指现场核查情况全部符合“核查内容”要求，得</w:t>
      </w:r>
      <w:r>
        <w:rPr>
          <w:rFonts w:ascii="仿宋" w:hAnsi="仿宋" w:eastAsia="仿宋"/>
          <w:color w:val="auto"/>
          <w:sz w:val="32"/>
          <w:szCs w:val="32"/>
        </w:rPr>
        <w:t>3分；基本符合要求，是指现场核查发现的问题属于个别、轻微或偶然发生，</w:t>
      </w:r>
      <w:r>
        <w:rPr>
          <w:rFonts w:hint="eastAsia" w:ascii="仿宋" w:hAnsi="仿宋" w:eastAsia="仿宋"/>
          <w:color w:val="auto"/>
          <w:sz w:val="32"/>
          <w:szCs w:val="32"/>
        </w:rPr>
        <w:t>不会对食品安全产生严重影响，可在规定时限内通过整改达到食品安全要求</w:t>
      </w:r>
      <w:r>
        <w:rPr>
          <w:rFonts w:ascii="仿宋" w:hAnsi="仿宋" w:eastAsia="仿宋"/>
          <w:color w:val="auto"/>
          <w:sz w:val="32"/>
          <w:szCs w:val="32"/>
        </w:rPr>
        <w:t>的，得1分；不符合要求，是指现场核查发现的问题属于普遍、严重、系统性或区域性缺陷，可能影响食品安全</w:t>
      </w:r>
      <w:r>
        <w:rPr>
          <w:rFonts w:hint="eastAsia" w:ascii="仿宋" w:hAnsi="仿宋" w:eastAsia="仿宋"/>
          <w:color w:val="auto"/>
          <w:sz w:val="32"/>
          <w:szCs w:val="32"/>
        </w:rPr>
        <w:t>的，得</w:t>
      </w:r>
      <w:r>
        <w:rPr>
          <w:rFonts w:ascii="仿宋" w:hAnsi="仿宋" w:eastAsia="仿宋"/>
          <w:color w:val="auto"/>
          <w:sz w:val="32"/>
          <w:szCs w:val="32"/>
        </w:rPr>
        <w:t>0分。</w:t>
      </w:r>
    </w:p>
    <w:p>
      <w:pPr>
        <w:shd w:val="clear" w:color="auto" w:fill="FFFFFF" w:themeFill="background1"/>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试制食品检验报告核查判定得分为</w:t>
      </w:r>
      <w:r>
        <w:rPr>
          <w:rFonts w:ascii="仿宋" w:hAnsi="仿宋" w:eastAsia="仿宋"/>
          <w:color w:val="auto"/>
          <w:sz w:val="32"/>
          <w:szCs w:val="32"/>
        </w:rPr>
        <w:t>1分、0.5分和0分。</w:t>
      </w:r>
    </w:p>
    <w:p>
      <w:pPr>
        <w:shd w:val="clear" w:color="auto" w:fill="FFFFFF" w:themeFill="background1"/>
        <w:spacing w:line="600" w:lineRule="exact"/>
        <w:ind w:firstLine="642" w:firstLineChars="200"/>
        <w:rPr>
          <w:rFonts w:ascii="仿宋" w:hAnsi="仿宋" w:eastAsia="仿宋"/>
          <w:color w:val="auto"/>
          <w:sz w:val="32"/>
          <w:szCs w:val="32"/>
        </w:rPr>
      </w:pPr>
      <w:r>
        <w:rPr>
          <w:rFonts w:hint="eastAsia" w:ascii="仿宋" w:hAnsi="仿宋" w:eastAsia="黑体"/>
          <w:b/>
          <w:color w:val="auto"/>
          <w:sz w:val="32"/>
          <w:szCs w:val="32"/>
        </w:rPr>
        <w:t>第二十八条</w:t>
      </w:r>
      <w:r>
        <w:rPr>
          <w:rFonts w:ascii="仿宋" w:hAnsi="仿宋" w:eastAsia="黑体"/>
          <w:b/>
          <w:color w:val="auto"/>
          <w:sz w:val="32"/>
          <w:szCs w:val="32"/>
        </w:rPr>
        <w:t xml:space="preserve">  </w:t>
      </w:r>
      <w:r>
        <w:rPr>
          <w:rFonts w:hint="eastAsia" w:ascii="仿宋" w:hAnsi="仿宋" w:eastAsia="仿宋"/>
          <w:color w:val="auto"/>
          <w:sz w:val="32"/>
          <w:szCs w:val="32"/>
        </w:rPr>
        <w:t>核查项目单项得分无</w:t>
      </w:r>
      <w:r>
        <w:rPr>
          <w:rFonts w:ascii="仿宋" w:hAnsi="仿宋" w:eastAsia="仿宋"/>
          <w:color w:val="auto"/>
          <w:sz w:val="32"/>
          <w:szCs w:val="32"/>
        </w:rPr>
        <w:t>0分项，且总得分率≥85%的，该类别名称</w:t>
      </w:r>
      <w:r>
        <w:rPr>
          <w:rFonts w:hint="eastAsia" w:ascii="仿宋" w:hAnsi="仿宋" w:eastAsia="仿宋"/>
          <w:color w:val="auto"/>
          <w:sz w:val="32"/>
          <w:szCs w:val="32"/>
        </w:rPr>
        <w:t>及品种明细</w:t>
      </w:r>
      <w:r>
        <w:rPr>
          <w:rFonts w:ascii="仿宋" w:hAnsi="仿宋" w:eastAsia="仿宋"/>
          <w:color w:val="auto"/>
          <w:sz w:val="32"/>
          <w:szCs w:val="32"/>
        </w:rPr>
        <w:t>判定为通过现场核查；核查项目单项得分有0分项或者总得分率＜85%的，该类别名称</w:t>
      </w:r>
      <w:r>
        <w:rPr>
          <w:rFonts w:hint="eastAsia" w:ascii="仿宋" w:hAnsi="仿宋" w:eastAsia="仿宋"/>
          <w:color w:val="auto"/>
          <w:sz w:val="32"/>
          <w:szCs w:val="32"/>
        </w:rPr>
        <w:t>及品种明细</w:t>
      </w:r>
      <w:r>
        <w:rPr>
          <w:rFonts w:ascii="仿宋" w:hAnsi="仿宋" w:eastAsia="仿宋"/>
          <w:color w:val="auto"/>
          <w:sz w:val="32"/>
          <w:szCs w:val="32"/>
        </w:rPr>
        <w:t>判定为未通过现场核查。</w:t>
      </w:r>
    </w:p>
    <w:p>
      <w:pPr>
        <w:shd w:val="clear" w:color="auto" w:fill="FFFFFF" w:themeFill="background1"/>
        <w:spacing w:line="600" w:lineRule="exact"/>
        <w:ind w:firstLine="642" w:firstLineChars="200"/>
        <w:rPr>
          <w:rFonts w:ascii="仿宋" w:hAnsi="仿宋" w:eastAsia="仿宋"/>
          <w:color w:val="auto"/>
          <w:sz w:val="32"/>
          <w:szCs w:val="32"/>
        </w:rPr>
      </w:pPr>
      <w:r>
        <w:rPr>
          <w:rFonts w:hint="eastAsia" w:ascii="仿宋" w:hAnsi="仿宋" w:eastAsia="黑体"/>
          <w:b/>
          <w:color w:val="auto"/>
          <w:sz w:val="32"/>
          <w:szCs w:val="32"/>
        </w:rPr>
        <w:t>第二十九条</w:t>
      </w:r>
      <w:r>
        <w:rPr>
          <w:rFonts w:ascii="仿宋" w:hAnsi="仿宋" w:eastAsia="黑体"/>
          <w:b/>
          <w:color w:val="auto"/>
          <w:sz w:val="32"/>
          <w:szCs w:val="32"/>
        </w:rPr>
        <w:t xml:space="preserve">  </w:t>
      </w:r>
      <w:r>
        <w:rPr>
          <w:rFonts w:hint="eastAsia" w:ascii="仿宋" w:hAnsi="仿宋" w:eastAsia="仿宋"/>
          <w:color w:val="auto"/>
          <w:sz w:val="32"/>
          <w:szCs w:val="32"/>
        </w:rPr>
        <w:t>因申请人下列原因之一，导致现场核查无法正常开展的，核查组应当如实向委派其</w:t>
      </w:r>
      <w:r>
        <w:rPr>
          <w:rFonts w:ascii="仿宋" w:hAnsi="仿宋" w:eastAsia="仿宋"/>
          <w:color w:val="auto"/>
          <w:sz w:val="32"/>
          <w:szCs w:val="32"/>
        </w:rPr>
        <w:t>实施现场</w:t>
      </w:r>
      <w:r>
        <w:rPr>
          <w:rFonts w:hint="eastAsia" w:ascii="仿宋" w:hAnsi="仿宋" w:eastAsia="仿宋"/>
          <w:color w:val="auto"/>
          <w:sz w:val="32"/>
          <w:szCs w:val="32"/>
        </w:rPr>
        <w:t>核查的市场监督管理部门报告，本次现场核查的结论判定为未通过现场核查：</w:t>
      </w:r>
    </w:p>
    <w:p>
      <w:pPr>
        <w:shd w:val="clear" w:color="auto" w:fill="FFFFFF" w:themeFill="background1"/>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（一）不配合实施现场核查的；</w:t>
      </w:r>
    </w:p>
    <w:p>
      <w:pPr>
        <w:shd w:val="clear" w:color="auto" w:fill="FFFFFF" w:themeFill="background1"/>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（二）现场核查时生产设备设施不能正常运行的；</w:t>
      </w:r>
    </w:p>
    <w:p>
      <w:pPr>
        <w:shd w:val="clear" w:color="auto" w:fill="FFFFFF" w:themeFill="background1"/>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（三）存在隐瞒有关情况或者提供虚假材料申请食品生产许可的；</w:t>
      </w:r>
    </w:p>
    <w:p>
      <w:pPr>
        <w:shd w:val="clear" w:color="auto" w:fill="FFFFFF" w:themeFill="background1"/>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（四）其他因申请人主观原因导致现场核查无法正常开展的</w:t>
      </w:r>
      <w:r>
        <w:rPr>
          <w:rFonts w:ascii="仿宋" w:hAnsi="仿宋" w:eastAsia="仿宋"/>
          <w:color w:val="auto"/>
          <w:sz w:val="32"/>
          <w:szCs w:val="32"/>
        </w:rPr>
        <w:t>。</w:t>
      </w:r>
    </w:p>
    <w:p>
      <w:pPr>
        <w:shd w:val="clear" w:color="auto" w:fill="FFFFFF" w:themeFill="background1"/>
        <w:spacing w:line="600" w:lineRule="exact"/>
        <w:ind w:firstLine="642" w:firstLineChars="200"/>
        <w:rPr>
          <w:rFonts w:ascii="仿宋" w:hAnsi="仿宋" w:eastAsia="仿宋"/>
          <w:color w:val="auto"/>
          <w:sz w:val="32"/>
          <w:szCs w:val="32"/>
        </w:rPr>
      </w:pPr>
      <w:r>
        <w:rPr>
          <w:rFonts w:hint="eastAsia" w:ascii="仿宋" w:hAnsi="仿宋" w:eastAsia="黑体"/>
          <w:b/>
          <w:color w:val="auto"/>
          <w:sz w:val="32"/>
          <w:szCs w:val="32"/>
        </w:rPr>
        <w:t>第三十条</w:t>
      </w:r>
      <w:r>
        <w:rPr>
          <w:rFonts w:ascii="仿宋" w:hAnsi="仿宋" w:eastAsia="仿宋"/>
          <w:color w:val="auto"/>
          <w:sz w:val="32"/>
          <w:szCs w:val="32"/>
        </w:rPr>
        <w:t xml:space="preserve">  </w:t>
      </w:r>
      <w:r>
        <w:rPr>
          <w:rFonts w:hint="eastAsia" w:ascii="仿宋" w:hAnsi="仿宋" w:eastAsia="仿宋"/>
          <w:color w:val="auto"/>
          <w:sz w:val="32"/>
          <w:szCs w:val="32"/>
        </w:rPr>
        <w:t>核查组应当自接受现场核查任务之日起</w:t>
      </w:r>
      <w:r>
        <w:rPr>
          <w:rFonts w:ascii="仿宋" w:hAnsi="仿宋" w:eastAsia="仿宋"/>
          <w:color w:val="auto"/>
          <w:sz w:val="32"/>
          <w:szCs w:val="32"/>
        </w:rPr>
        <w:t>5个工作日内完成现场核查，并将《食品、食品添加剂生产许可核查材料清单》（附件4）所列的</w:t>
      </w:r>
      <w:r>
        <w:rPr>
          <w:rFonts w:hint="eastAsia" w:ascii="仿宋" w:hAnsi="仿宋" w:eastAsia="仿宋"/>
          <w:color w:val="auto"/>
          <w:sz w:val="32"/>
          <w:szCs w:val="32"/>
        </w:rPr>
        <w:t>相关材料上报委派其</w:t>
      </w:r>
      <w:r>
        <w:rPr>
          <w:rFonts w:ascii="仿宋" w:hAnsi="仿宋" w:eastAsia="仿宋"/>
          <w:color w:val="auto"/>
          <w:sz w:val="32"/>
          <w:szCs w:val="32"/>
        </w:rPr>
        <w:t>实施现场</w:t>
      </w:r>
      <w:r>
        <w:rPr>
          <w:rFonts w:hint="eastAsia" w:ascii="仿宋" w:hAnsi="仿宋" w:eastAsia="仿宋"/>
          <w:color w:val="auto"/>
          <w:sz w:val="32"/>
          <w:szCs w:val="32"/>
        </w:rPr>
        <w:t>核查的市场监督管理部门。</w:t>
      </w:r>
    </w:p>
    <w:p>
      <w:pPr>
        <w:shd w:val="clear" w:color="auto" w:fill="FFFFFF" w:themeFill="background1"/>
        <w:spacing w:line="600" w:lineRule="exact"/>
        <w:ind w:firstLine="642" w:firstLineChars="200"/>
        <w:rPr>
          <w:rFonts w:ascii="仿宋" w:hAnsi="仿宋" w:eastAsia="仿宋"/>
          <w:color w:val="auto"/>
          <w:sz w:val="32"/>
          <w:szCs w:val="32"/>
        </w:rPr>
      </w:pPr>
      <w:r>
        <w:rPr>
          <w:rFonts w:hint="eastAsia" w:ascii="仿宋" w:hAnsi="仿宋" w:eastAsia="黑体"/>
          <w:b/>
          <w:color w:val="auto"/>
          <w:sz w:val="32"/>
          <w:szCs w:val="32"/>
        </w:rPr>
        <w:t>第三十一条</w:t>
      </w:r>
      <w:r>
        <w:rPr>
          <w:rFonts w:ascii="仿宋" w:hAnsi="仿宋" w:eastAsia="黑体"/>
          <w:b/>
          <w:color w:val="auto"/>
          <w:sz w:val="32"/>
          <w:szCs w:val="32"/>
        </w:rPr>
        <w:t xml:space="preserve">  </w:t>
      </w:r>
      <w:r>
        <w:rPr>
          <w:rFonts w:hint="eastAsia" w:ascii="仿宋" w:hAnsi="仿宋" w:eastAsia="仿宋"/>
          <w:color w:val="auto"/>
          <w:sz w:val="32"/>
          <w:szCs w:val="32"/>
        </w:rPr>
        <w:t>因不可抗力原因，或者供电、供水等客观原因导致现场核查无法正常开展的，申请人应当向审批</w:t>
      </w:r>
      <w:r>
        <w:rPr>
          <w:rFonts w:ascii="仿宋" w:hAnsi="仿宋" w:eastAsia="仿宋"/>
          <w:color w:val="auto"/>
          <w:sz w:val="32"/>
          <w:szCs w:val="32"/>
        </w:rPr>
        <w:t>部门</w:t>
      </w:r>
      <w:r>
        <w:rPr>
          <w:rFonts w:hint="eastAsia" w:ascii="仿宋" w:hAnsi="仿宋" w:eastAsia="仿宋"/>
          <w:color w:val="auto"/>
          <w:sz w:val="32"/>
          <w:szCs w:val="32"/>
        </w:rPr>
        <w:t>书面提出许可中止申请。中止时间原则</w:t>
      </w:r>
      <w:r>
        <w:rPr>
          <w:rFonts w:ascii="仿宋" w:hAnsi="仿宋" w:eastAsia="仿宋"/>
          <w:color w:val="auto"/>
          <w:sz w:val="32"/>
          <w:szCs w:val="32"/>
        </w:rPr>
        <w:t>上</w:t>
      </w:r>
      <w:r>
        <w:rPr>
          <w:rFonts w:hint="eastAsia" w:ascii="仿宋" w:hAnsi="仿宋" w:eastAsia="仿宋"/>
          <w:color w:val="auto"/>
          <w:sz w:val="32"/>
          <w:szCs w:val="32"/>
        </w:rPr>
        <w:t>不超过</w:t>
      </w:r>
      <w:r>
        <w:rPr>
          <w:rFonts w:ascii="仿宋" w:hAnsi="仿宋" w:eastAsia="仿宋"/>
          <w:color w:val="auto"/>
          <w:sz w:val="32"/>
          <w:szCs w:val="32"/>
        </w:rPr>
        <w:t>10个工作日，中止时间不计入食品生产许可审批时限。</w:t>
      </w:r>
    </w:p>
    <w:p>
      <w:pPr>
        <w:shd w:val="clear" w:color="auto" w:fill="FFFFFF" w:themeFill="background1"/>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因自然灾害等原因造成申请人生产条件不符合规定条件的，申请人应当申请终止许可。</w:t>
      </w:r>
    </w:p>
    <w:p>
      <w:pPr>
        <w:shd w:val="clear" w:color="auto" w:fill="FFFFFF" w:themeFill="background1"/>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申请人</w:t>
      </w:r>
      <w:r>
        <w:rPr>
          <w:rFonts w:ascii="仿宋" w:hAnsi="仿宋" w:eastAsia="仿宋"/>
          <w:color w:val="auto"/>
          <w:sz w:val="32"/>
          <w:szCs w:val="32"/>
        </w:rPr>
        <w:t>申请的中止时间到期仍不能开展现场核查的，审批部门应当终止许可</w:t>
      </w:r>
      <w:r>
        <w:rPr>
          <w:rFonts w:hint="eastAsia" w:ascii="仿宋" w:hAnsi="仿宋" w:eastAsia="仿宋"/>
          <w:color w:val="auto"/>
          <w:sz w:val="32"/>
          <w:szCs w:val="32"/>
        </w:rPr>
        <w:t>。</w:t>
      </w:r>
    </w:p>
    <w:p>
      <w:pPr>
        <w:shd w:val="clear" w:color="auto" w:fill="FFFFFF" w:themeFill="background1"/>
        <w:spacing w:line="600" w:lineRule="exact"/>
        <w:ind w:firstLine="642" w:firstLineChars="200"/>
        <w:rPr>
          <w:rFonts w:ascii="仿宋" w:hAnsi="仿宋" w:eastAsia="仿宋"/>
          <w:color w:val="auto"/>
          <w:sz w:val="32"/>
          <w:szCs w:val="32"/>
        </w:rPr>
      </w:pPr>
      <w:bookmarkStart w:id="0" w:name="OLE_LINK1"/>
      <w:r>
        <w:rPr>
          <w:rFonts w:hint="eastAsia" w:ascii="仿宋" w:hAnsi="仿宋" w:eastAsia="黑体"/>
          <w:b/>
          <w:color w:val="auto"/>
          <w:sz w:val="32"/>
          <w:szCs w:val="32"/>
        </w:rPr>
        <w:t>第三十二条</w:t>
      </w:r>
      <w:r>
        <w:rPr>
          <w:rFonts w:ascii="仿宋" w:hAnsi="仿宋" w:eastAsia="黑体"/>
          <w:b/>
          <w:color w:val="auto"/>
          <w:sz w:val="32"/>
          <w:szCs w:val="32"/>
        </w:rPr>
        <w:t xml:space="preserve">  </w:t>
      </w:r>
      <w:r>
        <w:rPr>
          <w:rFonts w:hint="eastAsia" w:ascii="仿宋" w:hAnsi="仿宋" w:eastAsia="仿宋"/>
          <w:color w:val="auto"/>
          <w:sz w:val="32"/>
          <w:szCs w:val="32"/>
        </w:rPr>
        <w:t>因申请人涉嫌食品安全违法被立案调查或</w:t>
      </w:r>
      <w:r>
        <w:rPr>
          <w:rFonts w:ascii="仿宋" w:hAnsi="仿宋" w:eastAsia="仿宋"/>
          <w:color w:val="auto"/>
          <w:sz w:val="32"/>
          <w:szCs w:val="32"/>
        </w:rPr>
        <w:t>涉嫌食品安全犯罪被立案侦查</w:t>
      </w:r>
      <w:r>
        <w:rPr>
          <w:rFonts w:hint="eastAsia" w:ascii="仿宋" w:hAnsi="仿宋" w:eastAsia="仿宋"/>
          <w:color w:val="auto"/>
          <w:sz w:val="32"/>
          <w:szCs w:val="32"/>
        </w:rPr>
        <w:t>的，审批</w:t>
      </w:r>
      <w:r>
        <w:rPr>
          <w:rFonts w:ascii="仿宋" w:hAnsi="仿宋" w:eastAsia="仿宋"/>
          <w:color w:val="auto"/>
          <w:sz w:val="32"/>
          <w:szCs w:val="32"/>
        </w:rPr>
        <w:t>部门</w:t>
      </w:r>
      <w:r>
        <w:rPr>
          <w:rFonts w:hint="eastAsia" w:ascii="仿宋" w:hAnsi="仿宋" w:eastAsia="仿宋"/>
          <w:color w:val="auto"/>
          <w:sz w:val="32"/>
          <w:szCs w:val="32"/>
        </w:rPr>
        <w:t>应当中止生产许可程序。中止时间不计入食品生产许可审批时限。</w:t>
      </w:r>
      <w:bookmarkEnd w:id="0"/>
    </w:p>
    <w:p>
      <w:pPr>
        <w:shd w:val="clear" w:color="auto" w:fill="FFFFFF" w:themeFill="background1"/>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立案调查作出行政处罚决定为限制开展生产经营活动、责令停产停业、责令关闭、限制从业、暂扣许可证件、吊销许可证件的，或者</w:t>
      </w:r>
      <w:r>
        <w:rPr>
          <w:rFonts w:ascii="仿宋" w:hAnsi="仿宋" w:eastAsia="仿宋"/>
          <w:color w:val="auto"/>
          <w:sz w:val="32"/>
          <w:szCs w:val="32"/>
        </w:rPr>
        <w:t>立案侦查后</w:t>
      </w:r>
      <w:r>
        <w:rPr>
          <w:rFonts w:hint="eastAsia" w:ascii="仿宋" w:hAnsi="仿宋" w:eastAsia="仿宋"/>
          <w:color w:val="auto"/>
          <w:sz w:val="32"/>
          <w:szCs w:val="32"/>
        </w:rPr>
        <w:t>移送</w:t>
      </w:r>
      <w:r>
        <w:rPr>
          <w:rFonts w:ascii="仿宋" w:hAnsi="仿宋" w:eastAsia="仿宋"/>
          <w:color w:val="auto"/>
          <w:sz w:val="32"/>
          <w:szCs w:val="32"/>
        </w:rPr>
        <w:t>检察院</w:t>
      </w:r>
      <w:r>
        <w:rPr>
          <w:rFonts w:hint="eastAsia" w:ascii="仿宋" w:hAnsi="仿宋" w:eastAsia="仿宋"/>
          <w:color w:val="auto"/>
          <w:sz w:val="32"/>
          <w:szCs w:val="32"/>
        </w:rPr>
        <w:t>起诉</w:t>
      </w:r>
      <w:r>
        <w:rPr>
          <w:rFonts w:ascii="仿宋" w:hAnsi="仿宋" w:eastAsia="仿宋"/>
          <w:color w:val="auto"/>
          <w:sz w:val="32"/>
          <w:szCs w:val="32"/>
        </w:rPr>
        <w:t>的，</w:t>
      </w:r>
      <w:r>
        <w:rPr>
          <w:rFonts w:hint="eastAsia" w:ascii="仿宋" w:hAnsi="仿宋" w:eastAsia="仿宋"/>
          <w:color w:val="auto"/>
          <w:sz w:val="32"/>
          <w:szCs w:val="32"/>
        </w:rPr>
        <w:t>应当终止生产许可程序；立案调查作出行政处罚决定为警告、通报批评、罚款、没收违法所得、没收非法财物的，且申请人履行行政处罚的，或者</w:t>
      </w:r>
      <w:r>
        <w:rPr>
          <w:rFonts w:ascii="仿宋" w:hAnsi="仿宋" w:eastAsia="仿宋"/>
          <w:color w:val="auto"/>
          <w:sz w:val="32"/>
          <w:szCs w:val="32"/>
        </w:rPr>
        <w:t>立案调查</w:t>
      </w:r>
      <w:r>
        <w:rPr>
          <w:rFonts w:hint="eastAsia" w:ascii="仿宋" w:hAnsi="仿宋" w:eastAsia="仿宋"/>
          <w:color w:val="auto"/>
          <w:sz w:val="32"/>
          <w:szCs w:val="32"/>
        </w:rPr>
        <w:t>、</w:t>
      </w:r>
      <w:r>
        <w:rPr>
          <w:rFonts w:ascii="仿宋" w:hAnsi="仿宋" w:eastAsia="仿宋"/>
          <w:color w:val="auto"/>
          <w:sz w:val="32"/>
          <w:szCs w:val="32"/>
        </w:rPr>
        <w:t>立案侦查</w:t>
      </w:r>
      <w:r>
        <w:rPr>
          <w:rFonts w:hint="eastAsia" w:ascii="仿宋" w:hAnsi="仿宋" w:eastAsia="仿宋"/>
          <w:color w:val="auto"/>
          <w:sz w:val="32"/>
          <w:szCs w:val="32"/>
        </w:rPr>
        <w:t>作出撤案决定</w:t>
      </w:r>
      <w:r>
        <w:rPr>
          <w:rFonts w:ascii="仿宋" w:hAnsi="仿宋" w:eastAsia="仿宋"/>
          <w:color w:val="auto"/>
          <w:sz w:val="32"/>
          <w:szCs w:val="32"/>
        </w:rPr>
        <w:t>的，</w:t>
      </w:r>
      <w:r>
        <w:rPr>
          <w:rFonts w:hint="eastAsia" w:ascii="仿宋" w:hAnsi="仿宋" w:eastAsia="仿宋"/>
          <w:color w:val="auto"/>
          <w:sz w:val="32"/>
          <w:szCs w:val="32"/>
        </w:rPr>
        <w:t>申请人</w:t>
      </w:r>
      <w:r>
        <w:rPr>
          <w:rFonts w:ascii="仿宋" w:hAnsi="仿宋" w:eastAsia="仿宋"/>
          <w:color w:val="auto"/>
          <w:sz w:val="32"/>
          <w:szCs w:val="32"/>
        </w:rPr>
        <w:t>申请恢复生产许可</w:t>
      </w:r>
      <w:r>
        <w:rPr>
          <w:rFonts w:hint="eastAsia" w:ascii="仿宋" w:hAnsi="仿宋" w:eastAsia="仿宋"/>
          <w:color w:val="auto"/>
          <w:sz w:val="32"/>
          <w:szCs w:val="32"/>
        </w:rPr>
        <w:t>的</w:t>
      </w:r>
      <w:r>
        <w:rPr>
          <w:rFonts w:ascii="仿宋" w:hAnsi="仿宋" w:eastAsia="仿宋"/>
          <w:color w:val="auto"/>
          <w:sz w:val="32"/>
          <w:szCs w:val="32"/>
        </w:rPr>
        <w:t>，</w:t>
      </w:r>
      <w:r>
        <w:rPr>
          <w:rFonts w:hint="eastAsia" w:ascii="仿宋" w:hAnsi="仿宋" w:eastAsia="仿宋"/>
          <w:color w:val="auto"/>
          <w:sz w:val="32"/>
          <w:szCs w:val="32"/>
        </w:rPr>
        <w:t>应当恢复生产许可程序。</w:t>
      </w:r>
    </w:p>
    <w:p>
      <w:pPr>
        <w:shd w:val="clear" w:color="auto" w:fill="FFFFFF" w:themeFill="background1"/>
        <w:spacing w:line="600" w:lineRule="exact"/>
        <w:ind w:firstLine="640" w:firstLineChars="200"/>
        <w:rPr>
          <w:rFonts w:ascii="仿宋" w:hAnsi="仿宋" w:eastAsia="仿宋"/>
          <w:color w:val="auto"/>
          <w:sz w:val="32"/>
          <w:szCs w:val="32"/>
        </w:rPr>
      </w:pPr>
    </w:p>
    <w:p>
      <w:pPr>
        <w:pStyle w:val="2"/>
        <w:shd w:val="clear" w:color="auto" w:fill="FFFFFF" w:themeFill="background1"/>
        <w:spacing w:before="240" w:beforeLines="100" w:after="240" w:afterLines="100" w:line="240" w:lineRule="auto"/>
        <w:jc w:val="center"/>
        <w:rPr>
          <w:rFonts w:ascii="楷体" w:hAnsi="楷体" w:eastAsia="楷体" w:cs="方正楷体简体"/>
          <w:color w:val="auto"/>
          <w:sz w:val="36"/>
          <w:szCs w:val="20"/>
        </w:rPr>
      </w:pPr>
      <w:r>
        <w:rPr>
          <w:rFonts w:hint="eastAsia" w:ascii="楷体" w:hAnsi="楷体" w:eastAsia="楷体" w:cs="方正楷体简体"/>
          <w:color w:val="auto"/>
          <w:sz w:val="36"/>
          <w:szCs w:val="20"/>
        </w:rPr>
        <w:t>第四章</w:t>
      </w:r>
      <w:r>
        <w:rPr>
          <w:rFonts w:ascii="楷体" w:hAnsi="楷体" w:eastAsia="楷体" w:cs="方正楷体简体"/>
          <w:color w:val="auto"/>
          <w:sz w:val="36"/>
          <w:szCs w:val="20"/>
        </w:rPr>
        <w:t xml:space="preserve">  </w:t>
      </w:r>
      <w:r>
        <w:rPr>
          <w:rFonts w:hint="eastAsia" w:ascii="楷体" w:hAnsi="楷体" w:eastAsia="楷体" w:cs="方正楷体简体"/>
          <w:color w:val="auto"/>
          <w:sz w:val="36"/>
          <w:szCs w:val="20"/>
        </w:rPr>
        <w:t>审查结果与整改</w:t>
      </w:r>
    </w:p>
    <w:p>
      <w:pPr>
        <w:shd w:val="clear" w:color="auto" w:fill="FFFFFF" w:themeFill="background1"/>
        <w:spacing w:line="600" w:lineRule="exact"/>
        <w:ind w:firstLine="642" w:firstLineChars="200"/>
        <w:rPr>
          <w:rFonts w:ascii="仿宋" w:hAnsi="仿宋" w:eastAsia="仿宋"/>
          <w:color w:val="auto"/>
          <w:sz w:val="32"/>
          <w:szCs w:val="32"/>
        </w:rPr>
      </w:pPr>
      <w:r>
        <w:rPr>
          <w:rFonts w:hint="eastAsia" w:ascii="仿宋" w:hAnsi="仿宋" w:eastAsia="黑体"/>
          <w:b/>
          <w:color w:val="auto"/>
          <w:sz w:val="32"/>
          <w:szCs w:val="32"/>
        </w:rPr>
        <w:t>第三十三条</w:t>
      </w:r>
      <w:r>
        <w:rPr>
          <w:rFonts w:hint="eastAsia" w:ascii="仿宋" w:hAnsi="仿宋" w:eastAsia="仿宋"/>
          <w:color w:val="auto"/>
          <w:sz w:val="32"/>
          <w:szCs w:val="32"/>
        </w:rPr>
        <w:t xml:space="preserve"> </w:t>
      </w:r>
      <w:r>
        <w:rPr>
          <w:rFonts w:ascii="仿宋" w:hAnsi="仿宋" w:eastAsia="仿宋"/>
          <w:color w:val="auto"/>
          <w:sz w:val="32"/>
          <w:szCs w:val="32"/>
        </w:rPr>
        <w:t xml:space="preserve"> </w:t>
      </w:r>
      <w:r>
        <w:rPr>
          <w:rFonts w:hint="eastAsia" w:ascii="仿宋" w:hAnsi="仿宋" w:eastAsia="仿宋"/>
          <w:color w:val="auto"/>
          <w:sz w:val="32"/>
          <w:szCs w:val="32"/>
        </w:rPr>
        <w:t>审批</w:t>
      </w:r>
      <w:r>
        <w:rPr>
          <w:rFonts w:ascii="仿宋" w:hAnsi="仿宋" w:eastAsia="仿宋"/>
          <w:color w:val="auto"/>
          <w:sz w:val="32"/>
          <w:szCs w:val="32"/>
        </w:rPr>
        <w:t>部门</w:t>
      </w:r>
      <w:r>
        <w:rPr>
          <w:rFonts w:hint="eastAsia" w:ascii="仿宋" w:hAnsi="仿宋" w:eastAsia="仿宋"/>
          <w:color w:val="auto"/>
          <w:sz w:val="32"/>
          <w:szCs w:val="32"/>
        </w:rPr>
        <w:t>应当根据申请材料审查和现场核查等情况，对符合条件的，作出准予生产许可的决定，颁发食品生产许可证；对不符合条件的，应当及时作出不予许可的书面决定并说明理由，同时告知申请人依法享有申请行政复议或者提起行政诉讼的权利。</w:t>
      </w:r>
    </w:p>
    <w:p>
      <w:pPr>
        <w:shd w:val="clear" w:color="auto" w:fill="FFFFFF" w:themeFill="background1"/>
        <w:spacing w:line="600" w:lineRule="exact"/>
        <w:ind w:firstLine="642" w:firstLineChars="200"/>
        <w:rPr>
          <w:rFonts w:ascii="仿宋" w:hAnsi="仿宋" w:eastAsia="仿宋"/>
          <w:color w:val="auto"/>
          <w:sz w:val="32"/>
          <w:szCs w:val="32"/>
        </w:rPr>
      </w:pPr>
      <w:r>
        <w:rPr>
          <w:rFonts w:hint="eastAsia" w:ascii="仿宋" w:hAnsi="仿宋" w:eastAsia="黑体"/>
          <w:b/>
          <w:color w:val="auto"/>
          <w:sz w:val="32"/>
          <w:szCs w:val="32"/>
        </w:rPr>
        <w:t>第三十四条</w:t>
      </w:r>
      <w:r>
        <w:rPr>
          <w:rFonts w:ascii="仿宋" w:hAnsi="仿宋" w:eastAsia="仿宋"/>
          <w:color w:val="auto"/>
          <w:sz w:val="32"/>
          <w:szCs w:val="32"/>
        </w:rPr>
        <w:t xml:space="preserve">  </w:t>
      </w:r>
      <w:r>
        <w:rPr>
          <w:rFonts w:hint="eastAsia" w:ascii="仿宋" w:hAnsi="仿宋" w:eastAsia="仿宋"/>
          <w:color w:val="auto"/>
          <w:sz w:val="32"/>
          <w:szCs w:val="32"/>
        </w:rPr>
        <w:t>作出准予生产许可决定的，审批</w:t>
      </w:r>
      <w:r>
        <w:rPr>
          <w:rFonts w:ascii="仿宋" w:hAnsi="仿宋" w:eastAsia="仿宋"/>
          <w:color w:val="auto"/>
          <w:sz w:val="32"/>
          <w:szCs w:val="32"/>
        </w:rPr>
        <w:t>部门</w:t>
      </w:r>
      <w:r>
        <w:rPr>
          <w:rFonts w:hint="eastAsia" w:ascii="仿宋" w:hAnsi="仿宋" w:eastAsia="仿宋"/>
          <w:color w:val="auto"/>
          <w:sz w:val="32"/>
          <w:szCs w:val="32"/>
        </w:rPr>
        <w:t>应当及时将申请人的申请材料及相关许可材料送达申请人</w:t>
      </w:r>
      <w:r>
        <w:rPr>
          <w:rFonts w:ascii="仿宋" w:hAnsi="仿宋" w:eastAsia="仿宋"/>
          <w:color w:val="auto"/>
          <w:sz w:val="32"/>
          <w:szCs w:val="32"/>
        </w:rPr>
        <w:t>的日常监管部门</w:t>
      </w:r>
      <w:r>
        <w:rPr>
          <w:rFonts w:hint="eastAsia" w:ascii="仿宋" w:hAnsi="仿宋" w:eastAsia="仿宋"/>
          <w:color w:val="auto"/>
          <w:sz w:val="32"/>
          <w:szCs w:val="32"/>
        </w:rPr>
        <w:t>。</w:t>
      </w:r>
    </w:p>
    <w:p>
      <w:pPr>
        <w:shd w:val="clear" w:color="auto" w:fill="FFFFFF" w:themeFill="background1"/>
        <w:spacing w:line="600" w:lineRule="exact"/>
        <w:ind w:firstLine="642" w:firstLineChars="200"/>
        <w:rPr>
          <w:rFonts w:ascii="仿宋" w:hAnsi="仿宋" w:eastAsia="仿宋"/>
          <w:color w:val="auto"/>
          <w:sz w:val="32"/>
          <w:szCs w:val="32"/>
        </w:rPr>
      </w:pPr>
      <w:r>
        <w:rPr>
          <w:rFonts w:hint="eastAsia" w:ascii="仿宋" w:hAnsi="仿宋" w:eastAsia="黑体"/>
          <w:b/>
          <w:color w:val="auto"/>
          <w:sz w:val="32"/>
          <w:szCs w:val="32"/>
        </w:rPr>
        <w:t>第三十五条</w:t>
      </w:r>
      <w:r>
        <w:rPr>
          <w:rFonts w:ascii="仿宋" w:hAnsi="仿宋" w:eastAsia="仿宋"/>
          <w:color w:val="auto"/>
          <w:sz w:val="32"/>
          <w:szCs w:val="32"/>
        </w:rPr>
        <w:t xml:space="preserve">  </w:t>
      </w:r>
      <w:r>
        <w:rPr>
          <w:rFonts w:hint="eastAsia" w:ascii="仿宋" w:hAnsi="仿宋" w:eastAsia="仿宋"/>
          <w:color w:val="auto"/>
          <w:sz w:val="32"/>
          <w:szCs w:val="32"/>
        </w:rPr>
        <w:t>判定结果为通过现场核查的，申请人应当在</w:t>
      </w:r>
      <w:r>
        <w:rPr>
          <w:rFonts w:ascii="仿宋" w:hAnsi="仿宋" w:eastAsia="仿宋"/>
          <w:color w:val="auto"/>
          <w:sz w:val="32"/>
          <w:szCs w:val="32"/>
        </w:rPr>
        <w:t>20个工作日内</w:t>
      </w:r>
      <w:r>
        <w:rPr>
          <w:rFonts w:hint="eastAsia" w:ascii="仿宋" w:hAnsi="仿宋" w:eastAsia="仿宋"/>
          <w:color w:val="auto"/>
          <w:sz w:val="32"/>
          <w:szCs w:val="32"/>
        </w:rPr>
        <w:t>对现场核查中发现的问题整改，并将整改结果向其</w:t>
      </w:r>
      <w:r>
        <w:rPr>
          <w:rFonts w:ascii="仿宋" w:hAnsi="仿宋" w:eastAsia="仿宋"/>
          <w:color w:val="auto"/>
          <w:sz w:val="32"/>
          <w:szCs w:val="32"/>
        </w:rPr>
        <w:t>日常监管部门</w:t>
      </w:r>
      <w:r>
        <w:rPr>
          <w:rFonts w:hint="eastAsia" w:ascii="仿宋" w:hAnsi="仿宋" w:eastAsia="仿宋"/>
          <w:color w:val="auto"/>
          <w:sz w:val="32"/>
          <w:szCs w:val="32"/>
        </w:rPr>
        <w:t>书面报告。</w:t>
      </w:r>
    </w:p>
    <w:p>
      <w:pPr>
        <w:shd w:val="clear" w:color="auto" w:fill="FFFFFF" w:themeFill="background1"/>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因不可抗力原因，申请人无法在规定时限内完成整改的，应当及时向其</w:t>
      </w:r>
      <w:r>
        <w:rPr>
          <w:rFonts w:ascii="仿宋" w:hAnsi="仿宋" w:eastAsia="仿宋"/>
          <w:color w:val="auto"/>
          <w:sz w:val="32"/>
          <w:szCs w:val="32"/>
        </w:rPr>
        <w:t>日常监管部门</w:t>
      </w:r>
      <w:r>
        <w:rPr>
          <w:rFonts w:hint="eastAsia" w:ascii="仿宋" w:hAnsi="仿宋" w:eastAsia="仿宋"/>
          <w:color w:val="auto"/>
          <w:sz w:val="32"/>
          <w:szCs w:val="32"/>
        </w:rPr>
        <w:t>提出延期申请。</w:t>
      </w:r>
    </w:p>
    <w:p>
      <w:pPr>
        <w:shd w:val="clear" w:color="auto" w:fill="FFFFFF" w:themeFill="background1"/>
        <w:tabs>
          <w:tab w:val="left" w:pos="1701"/>
        </w:tabs>
        <w:spacing w:line="600" w:lineRule="exact"/>
        <w:ind w:firstLine="642" w:firstLineChars="200"/>
        <w:rPr>
          <w:rFonts w:ascii="仿宋" w:hAnsi="仿宋" w:eastAsia="仿宋"/>
          <w:color w:val="auto"/>
          <w:sz w:val="32"/>
          <w:szCs w:val="32"/>
        </w:rPr>
      </w:pPr>
      <w:r>
        <w:rPr>
          <w:rFonts w:hint="eastAsia" w:ascii="仿宋" w:hAnsi="仿宋" w:eastAsia="黑体"/>
          <w:b/>
          <w:color w:val="auto"/>
          <w:sz w:val="32"/>
          <w:szCs w:val="32"/>
        </w:rPr>
        <w:t>第三十六条</w:t>
      </w:r>
      <w:r>
        <w:rPr>
          <w:rFonts w:ascii="仿宋" w:hAnsi="仿宋" w:eastAsia="仿宋"/>
          <w:color w:val="auto"/>
          <w:sz w:val="32"/>
          <w:szCs w:val="32"/>
        </w:rPr>
        <w:t xml:space="preserve">  申请人</w:t>
      </w:r>
      <w:r>
        <w:rPr>
          <w:rFonts w:hint="eastAsia" w:ascii="仿宋" w:hAnsi="仿宋" w:eastAsia="仿宋"/>
          <w:color w:val="auto"/>
          <w:sz w:val="32"/>
          <w:szCs w:val="32"/>
        </w:rPr>
        <w:t>的</w:t>
      </w:r>
      <w:r>
        <w:rPr>
          <w:rFonts w:ascii="仿宋" w:hAnsi="仿宋" w:eastAsia="仿宋"/>
          <w:color w:val="auto"/>
          <w:sz w:val="32"/>
          <w:szCs w:val="32"/>
        </w:rPr>
        <w:t>日常监管部门</w:t>
      </w:r>
      <w:r>
        <w:rPr>
          <w:rFonts w:hint="eastAsia" w:ascii="仿宋" w:hAnsi="仿宋" w:eastAsia="仿宋"/>
          <w:color w:val="auto"/>
          <w:sz w:val="32"/>
          <w:szCs w:val="32"/>
        </w:rPr>
        <w:t>应当在申请人取得食品生产许可后</w:t>
      </w:r>
      <w:r>
        <w:rPr>
          <w:rFonts w:ascii="仿宋" w:hAnsi="仿宋" w:eastAsia="仿宋"/>
          <w:color w:val="auto"/>
          <w:sz w:val="32"/>
          <w:szCs w:val="32"/>
        </w:rPr>
        <w:t>3个月内对获证企业开展一次监督检查。对已</w:t>
      </w:r>
      <w:r>
        <w:rPr>
          <w:rFonts w:hint="eastAsia" w:ascii="仿宋" w:hAnsi="仿宋" w:eastAsia="仿宋"/>
          <w:color w:val="auto"/>
          <w:sz w:val="32"/>
          <w:szCs w:val="32"/>
        </w:rPr>
        <w:t>完成现场核查的企业，重点检查现场核查中发现问题的整改情况；对申请人声明生产条件未发生变化的延续换证企业，重点检查生产条件保持情况。</w:t>
      </w:r>
    </w:p>
    <w:p>
      <w:pPr>
        <w:pStyle w:val="2"/>
        <w:shd w:val="clear" w:color="auto" w:fill="FFFFFF" w:themeFill="background1"/>
        <w:spacing w:before="240" w:beforeLines="100" w:after="240" w:afterLines="100" w:line="240" w:lineRule="auto"/>
        <w:jc w:val="center"/>
        <w:rPr>
          <w:rFonts w:ascii="楷体" w:hAnsi="楷体" w:eastAsia="楷体" w:cs="方正楷体简体"/>
          <w:color w:val="auto"/>
          <w:sz w:val="36"/>
          <w:szCs w:val="20"/>
        </w:rPr>
      </w:pPr>
      <w:r>
        <w:rPr>
          <w:rFonts w:hint="eastAsia" w:ascii="楷体" w:hAnsi="楷体" w:eastAsia="楷体" w:cs="方正楷体简体"/>
          <w:color w:val="auto"/>
          <w:sz w:val="36"/>
          <w:szCs w:val="20"/>
        </w:rPr>
        <w:t>第五章</w:t>
      </w:r>
      <w:r>
        <w:rPr>
          <w:rFonts w:ascii="楷体" w:hAnsi="楷体" w:eastAsia="楷体" w:cs="方正楷体简体"/>
          <w:color w:val="auto"/>
          <w:sz w:val="36"/>
          <w:szCs w:val="20"/>
        </w:rPr>
        <w:t xml:space="preserve">  </w:t>
      </w:r>
      <w:r>
        <w:rPr>
          <w:rFonts w:hint="eastAsia" w:ascii="楷体" w:hAnsi="楷体" w:eastAsia="楷体" w:cs="方正楷体简体"/>
          <w:color w:val="auto"/>
          <w:sz w:val="36"/>
          <w:szCs w:val="20"/>
        </w:rPr>
        <w:t>附则</w:t>
      </w:r>
    </w:p>
    <w:p>
      <w:pPr>
        <w:shd w:val="clear" w:color="auto" w:fill="FFFFFF" w:themeFill="background1"/>
        <w:spacing w:line="600" w:lineRule="exact"/>
        <w:ind w:firstLine="642" w:firstLineChars="200"/>
        <w:rPr>
          <w:rFonts w:ascii="仿宋" w:hAnsi="仿宋" w:eastAsia="仿宋"/>
          <w:color w:val="auto"/>
          <w:sz w:val="32"/>
          <w:szCs w:val="32"/>
        </w:rPr>
      </w:pPr>
      <w:r>
        <w:rPr>
          <w:rFonts w:hint="eastAsia" w:ascii="仿宋" w:hAnsi="仿宋" w:eastAsia="黑体"/>
          <w:b/>
          <w:color w:val="auto"/>
          <w:sz w:val="32"/>
          <w:szCs w:val="32"/>
        </w:rPr>
        <w:t>第三十七条</w:t>
      </w:r>
      <w:r>
        <w:rPr>
          <w:rFonts w:ascii="仿宋" w:hAnsi="仿宋" w:eastAsia="仿宋"/>
          <w:color w:val="auto"/>
          <w:sz w:val="32"/>
          <w:szCs w:val="32"/>
        </w:rPr>
        <w:t xml:space="preserve">  </w:t>
      </w:r>
      <w:r>
        <w:rPr>
          <w:rFonts w:hint="eastAsia" w:ascii="仿宋" w:hAnsi="仿宋" w:eastAsia="仿宋"/>
          <w:color w:val="auto"/>
          <w:sz w:val="32"/>
          <w:szCs w:val="32"/>
        </w:rPr>
        <w:t>食品生产者取得食品生产许可前生产的试制食品不得出厂销售。</w:t>
      </w:r>
    </w:p>
    <w:p>
      <w:pPr>
        <w:shd w:val="clear" w:color="auto" w:fill="FFFFFF" w:themeFill="background1"/>
        <w:spacing w:line="600" w:lineRule="exact"/>
        <w:ind w:firstLine="642" w:firstLineChars="200"/>
        <w:rPr>
          <w:rFonts w:ascii="仿宋" w:hAnsi="仿宋" w:eastAsia="黑体"/>
          <w:b/>
          <w:color w:val="auto"/>
          <w:sz w:val="32"/>
          <w:szCs w:val="32"/>
        </w:rPr>
      </w:pPr>
      <w:r>
        <w:rPr>
          <w:rFonts w:hint="eastAsia" w:ascii="仿宋" w:hAnsi="仿宋" w:eastAsia="黑体"/>
          <w:b/>
          <w:color w:val="auto"/>
          <w:sz w:val="32"/>
          <w:szCs w:val="32"/>
        </w:rPr>
        <w:t>第三十八条</w:t>
      </w:r>
      <w:r>
        <w:rPr>
          <w:rFonts w:ascii="仿宋" w:hAnsi="仿宋" w:eastAsia="仿宋"/>
          <w:color w:val="auto"/>
          <w:sz w:val="32"/>
          <w:szCs w:val="32"/>
        </w:rPr>
        <w:t xml:space="preserve">  </w:t>
      </w:r>
      <w:r>
        <w:rPr>
          <w:rFonts w:hint="eastAsia" w:ascii="仿宋" w:hAnsi="仿宋" w:eastAsia="仿宋"/>
          <w:color w:val="auto"/>
          <w:sz w:val="32"/>
          <w:szCs w:val="32"/>
        </w:rPr>
        <w:t>本通则</w:t>
      </w:r>
      <w:r>
        <w:rPr>
          <w:rFonts w:ascii="仿宋" w:hAnsi="仿宋" w:eastAsia="仿宋"/>
          <w:color w:val="auto"/>
          <w:sz w:val="32"/>
          <w:szCs w:val="32"/>
        </w:rPr>
        <w:t>适用于以</w:t>
      </w:r>
      <w:r>
        <w:rPr>
          <w:rFonts w:hint="eastAsia" w:ascii="仿宋" w:hAnsi="仿宋" w:eastAsia="仿宋"/>
          <w:color w:val="auto"/>
          <w:sz w:val="32"/>
          <w:szCs w:val="32"/>
        </w:rPr>
        <w:t>分装</w:t>
      </w:r>
      <w:r>
        <w:rPr>
          <w:rFonts w:ascii="仿宋" w:hAnsi="仿宋" w:eastAsia="仿宋"/>
          <w:color w:val="auto"/>
          <w:sz w:val="32"/>
          <w:szCs w:val="32"/>
        </w:rPr>
        <w:t>形式申请的食品生产许可审查，相关审查细则另有规定的除外。</w:t>
      </w:r>
    </w:p>
    <w:p>
      <w:pPr>
        <w:shd w:val="clear" w:color="auto" w:fill="FFFFFF" w:themeFill="background1"/>
        <w:spacing w:line="600" w:lineRule="exact"/>
        <w:ind w:firstLine="642" w:firstLineChars="200"/>
        <w:rPr>
          <w:rFonts w:ascii="仿宋" w:hAnsi="仿宋" w:eastAsia="仿宋"/>
          <w:color w:val="auto"/>
          <w:sz w:val="32"/>
          <w:szCs w:val="32"/>
        </w:rPr>
      </w:pPr>
      <w:r>
        <w:rPr>
          <w:rFonts w:hint="eastAsia" w:ascii="仿宋" w:hAnsi="仿宋" w:eastAsia="黑体"/>
          <w:b/>
          <w:color w:val="auto"/>
          <w:sz w:val="32"/>
          <w:szCs w:val="32"/>
        </w:rPr>
        <w:t>第三十九条</w:t>
      </w:r>
      <w:r>
        <w:rPr>
          <w:rFonts w:ascii="仿宋" w:hAnsi="仿宋" w:eastAsia="仿宋"/>
          <w:color w:val="auto"/>
          <w:sz w:val="32"/>
          <w:szCs w:val="32"/>
        </w:rPr>
        <w:t xml:space="preserve">  省级市场监督管理部门可以根据本通则，结合本区域实际情况制定有关食品生产许可管理</w:t>
      </w:r>
      <w:r>
        <w:rPr>
          <w:rFonts w:hint="eastAsia" w:ascii="仿宋" w:hAnsi="仿宋" w:eastAsia="仿宋"/>
          <w:color w:val="auto"/>
          <w:sz w:val="32"/>
          <w:szCs w:val="32"/>
        </w:rPr>
        <w:t>文件，补充、细化《食品、食品添加剂生产许可现场核查评分记录表》《食品、食品添加剂生产许可现场核查报告》。</w:t>
      </w:r>
    </w:p>
    <w:p>
      <w:pPr>
        <w:shd w:val="clear" w:color="auto" w:fill="FFFFFF" w:themeFill="background1"/>
        <w:spacing w:line="600" w:lineRule="exact"/>
        <w:ind w:firstLine="642" w:firstLineChars="200"/>
        <w:rPr>
          <w:rFonts w:ascii="仿宋" w:hAnsi="仿宋" w:eastAsia="仿宋"/>
          <w:color w:val="auto"/>
          <w:sz w:val="32"/>
          <w:szCs w:val="32"/>
        </w:rPr>
      </w:pPr>
      <w:r>
        <w:rPr>
          <w:rFonts w:hint="eastAsia" w:ascii="仿宋" w:hAnsi="仿宋" w:eastAsia="黑体"/>
          <w:b/>
          <w:color w:val="auto"/>
          <w:sz w:val="32"/>
          <w:szCs w:val="32"/>
        </w:rPr>
        <w:t>第四十条</w:t>
      </w:r>
      <w:r>
        <w:rPr>
          <w:rFonts w:ascii="仿宋" w:hAnsi="仿宋" w:eastAsia="仿宋"/>
          <w:color w:val="auto"/>
          <w:sz w:val="32"/>
          <w:szCs w:val="32"/>
        </w:rPr>
        <w:t xml:space="preserve">  本通则由国家市场监督管理总局负责解释。</w:t>
      </w:r>
    </w:p>
    <w:p>
      <w:pPr>
        <w:shd w:val="clear" w:color="auto" w:fill="FFFFFF" w:themeFill="background1"/>
        <w:spacing w:line="600" w:lineRule="exact"/>
        <w:ind w:firstLine="642" w:firstLineChars="200"/>
        <w:rPr>
          <w:rFonts w:ascii="仿宋" w:hAnsi="仿宋" w:eastAsia="仿宋"/>
          <w:color w:val="auto"/>
          <w:sz w:val="32"/>
          <w:szCs w:val="32"/>
        </w:rPr>
      </w:pPr>
      <w:r>
        <w:rPr>
          <w:rFonts w:hint="eastAsia" w:ascii="仿宋" w:hAnsi="仿宋" w:eastAsia="黑体"/>
          <w:b/>
          <w:color w:val="auto"/>
          <w:sz w:val="32"/>
          <w:szCs w:val="32"/>
        </w:rPr>
        <w:t>第四十一条</w:t>
      </w:r>
      <w:r>
        <w:rPr>
          <w:rFonts w:ascii="仿宋" w:hAnsi="仿宋" w:eastAsia="仿宋"/>
          <w:color w:val="auto"/>
          <w:sz w:val="32"/>
          <w:szCs w:val="32"/>
        </w:rPr>
        <w:t xml:space="preserve">  本通则自20××年××月××日起施行。</w:t>
      </w:r>
    </w:p>
    <w:p>
      <w:pPr>
        <w:shd w:val="clear" w:color="auto" w:fill="FFFFFF" w:themeFill="background1"/>
        <w:spacing w:line="600" w:lineRule="exact"/>
        <w:ind w:firstLine="640" w:firstLineChars="200"/>
        <w:rPr>
          <w:rFonts w:ascii="仿宋" w:hAnsi="仿宋" w:eastAsia="仿宋"/>
          <w:color w:val="auto"/>
          <w:sz w:val="32"/>
          <w:szCs w:val="32"/>
        </w:rPr>
      </w:pPr>
    </w:p>
    <w:p>
      <w:pPr>
        <w:shd w:val="clear" w:color="auto" w:fill="FFFFFF" w:themeFill="background1"/>
        <w:spacing w:line="600" w:lineRule="exact"/>
        <w:ind w:left="2057" w:leftChars="305" w:hanging="1417" w:hangingChars="443"/>
        <w:rPr>
          <w:rFonts w:eastAsia="仿宋_GB2312"/>
          <w:color w:val="auto"/>
          <w:sz w:val="32"/>
          <w:szCs w:val="32"/>
        </w:rPr>
      </w:pPr>
      <w:r>
        <w:rPr>
          <w:rFonts w:hint="eastAsia" w:ascii="仿宋" w:hAnsi="仿宋" w:eastAsia="仿宋"/>
          <w:color w:val="auto"/>
          <w:sz w:val="32"/>
          <w:szCs w:val="32"/>
        </w:rPr>
        <w:t>附件：</w:t>
      </w:r>
      <w:r>
        <w:rPr>
          <w:rFonts w:ascii="仿宋" w:hAnsi="仿宋" w:eastAsia="仿宋"/>
          <w:color w:val="auto"/>
          <w:sz w:val="32"/>
          <w:szCs w:val="32"/>
        </w:rPr>
        <w:t xml:space="preserve">1. </w:t>
      </w:r>
      <w:r>
        <w:rPr>
          <w:rFonts w:hint="eastAsia" w:ascii="仿宋" w:hAnsi="仿宋" w:eastAsia="仿宋"/>
          <w:color w:val="auto"/>
          <w:sz w:val="32"/>
          <w:szCs w:val="32"/>
        </w:rPr>
        <w:t>食品、食品添加剂生产许可现场核查首末次会议签到表</w:t>
      </w:r>
      <w:r>
        <w:rPr>
          <w:rFonts w:eastAsia="仿宋_GB2312"/>
          <w:color w:val="auto"/>
          <w:sz w:val="32"/>
          <w:szCs w:val="32"/>
        </w:rPr>
        <w:t xml:space="preserve"> </w:t>
      </w:r>
    </w:p>
    <w:p>
      <w:pPr>
        <w:shd w:val="clear" w:color="auto" w:fill="FFFFFF" w:themeFill="background1"/>
        <w:spacing w:line="600" w:lineRule="exact"/>
        <w:ind w:firstLine="1558" w:firstLineChars="487"/>
        <w:rPr>
          <w:rFonts w:ascii="仿宋" w:hAnsi="仿宋" w:eastAsia="仿宋"/>
          <w:color w:val="auto"/>
          <w:sz w:val="32"/>
          <w:szCs w:val="32"/>
        </w:rPr>
      </w:pPr>
      <w:r>
        <w:rPr>
          <w:rFonts w:ascii="仿宋" w:hAnsi="仿宋" w:eastAsia="仿宋"/>
          <w:color w:val="auto"/>
          <w:sz w:val="32"/>
          <w:szCs w:val="32"/>
        </w:rPr>
        <w:t xml:space="preserve">2. </w:t>
      </w:r>
      <w:r>
        <w:rPr>
          <w:rFonts w:hint="eastAsia" w:ascii="仿宋" w:hAnsi="仿宋" w:eastAsia="仿宋"/>
          <w:color w:val="auto"/>
          <w:sz w:val="32"/>
          <w:szCs w:val="32"/>
        </w:rPr>
        <w:t>食品、食品添加剂生产许可现场核查评分记录表</w:t>
      </w:r>
      <w:r>
        <w:rPr>
          <w:rFonts w:eastAsia="仿宋_GB2312"/>
          <w:color w:val="auto"/>
          <w:sz w:val="32"/>
          <w:szCs w:val="32"/>
        </w:rPr>
        <w:t xml:space="preserve"> </w:t>
      </w:r>
    </w:p>
    <w:p>
      <w:pPr>
        <w:shd w:val="clear" w:color="auto" w:fill="FFFFFF" w:themeFill="background1"/>
        <w:spacing w:line="600" w:lineRule="exact"/>
        <w:ind w:firstLine="1558" w:firstLineChars="487"/>
        <w:rPr>
          <w:rFonts w:ascii="仿宋" w:hAnsi="仿宋" w:eastAsia="仿宋"/>
          <w:color w:val="auto"/>
          <w:sz w:val="32"/>
          <w:szCs w:val="32"/>
        </w:rPr>
      </w:pPr>
      <w:r>
        <w:rPr>
          <w:rFonts w:ascii="仿宋" w:hAnsi="仿宋" w:eastAsia="仿宋"/>
          <w:color w:val="auto"/>
          <w:sz w:val="32"/>
          <w:szCs w:val="32"/>
        </w:rPr>
        <w:t xml:space="preserve">3. </w:t>
      </w:r>
      <w:r>
        <w:rPr>
          <w:rFonts w:hint="eastAsia" w:ascii="仿宋" w:hAnsi="仿宋" w:eastAsia="仿宋"/>
          <w:color w:val="auto"/>
          <w:sz w:val="32"/>
          <w:szCs w:val="32"/>
        </w:rPr>
        <w:t>食品、食品添加剂生产许可现场核查报告</w:t>
      </w:r>
    </w:p>
    <w:p>
      <w:pPr>
        <w:shd w:val="clear" w:color="auto" w:fill="FFFFFF" w:themeFill="background1"/>
        <w:spacing w:line="600" w:lineRule="exact"/>
        <w:ind w:firstLine="1558" w:firstLineChars="487"/>
        <w:rPr>
          <w:rFonts w:ascii="仿宋" w:hAnsi="仿宋" w:eastAsia="仿宋"/>
          <w:color w:val="auto"/>
          <w:sz w:val="32"/>
          <w:szCs w:val="32"/>
        </w:rPr>
        <w:sectPr>
          <w:footerReference r:id="rId3" w:type="default"/>
          <w:type w:val="nextColumn"/>
          <w:pgSz w:w="11906" w:h="16838"/>
          <w:pgMar w:top="1871" w:right="1474" w:bottom="1701" w:left="1474" w:header="1134" w:footer="1134" w:gutter="0"/>
          <w:pgNumType w:fmt="numberInDash"/>
          <w:cols w:space="0" w:num="1"/>
          <w:docGrid w:linePitch="286" w:charSpace="0"/>
        </w:sectPr>
      </w:pPr>
      <w:r>
        <w:rPr>
          <w:rFonts w:ascii="仿宋" w:hAnsi="仿宋" w:eastAsia="仿宋"/>
          <w:color w:val="auto"/>
          <w:sz w:val="32"/>
          <w:szCs w:val="32"/>
        </w:rPr>
        <w:t xml:space="preserve">4. </w:t>
      </w:r>
      <w:r>
        <w:rPr>
          <w:rFonts w:hint="eastAsia" w:ascii="仿宋" w:hAnsi="仿宋" w:eastAsia="仿宋"/>
          <w:color w:val="auto"/>
          <w:sz w:val="32"/>
          <w:szCs w:val="32"/>
        </w:rPr>
        <w:t>食品、食品添加剂生产许可核查材料清单</w:t>
      </w:r>
    </w:p>
    <w:p>
      <w:pPr>
        <w:spacing w:line="600" w:lineRule="exact"/>
        <w:outlineLvl w:val="0"/>
        <w:rPr>
          <w:rFonts w:ascii="黑体" w:hAnsi="黑体" w:eastAsia="黑体"/>
          <w:color w:val="auto"/>
          <w:sz w:val="32"/>
          <w:szCs w:val="32"/>
        </w:rPr>
      </w:pPr>
      <w:r>
        <w:rPr>
          <w:rFonts w:hint="eastAsia" w:ascii="黑体" w:hAnsi="黑体" w:eastAsia="黑体"/>
          <w:color w:val="auto"/>
          <w:sz w:val="32"/>
          <w:szCs w:val="32"/>
        </w:rPr>
        <w:t>附件1</w:t>
      </w:r>
    </w:p>
    <w:p>
      <w:pPr>
        <w:spacing w:line="600" w:lineRule="exact"/>
        <w:jc w:val="center"/>
        <w:rPr>
          <w:rFonts w:ascii="方正小标宋简体" w:eastAsia="方正小标宋简体" w:cs="方正小标宋简体"/>
          <w:color w:val="auto"/>
          <w:sz w:val="44"/>
          <w:szCs w:val="44"/>
        </w:rPr>
      </w:pPr>
      <w:r>
        <w:rPr>
          <w:rFonts w:hint="eastAsia" w:ascii="方正小标宋简体" w:eastAsia="方正小标宋简体" w:cs="方正小标宋简体"/>
          <w:color w:val="auto"/>
          <w:sz w:val="44"/>
          <w:szCs w:val="44"/>
        </w:rPr>
        <w:t>食品、食品添加剂生产许可现场核查</w:t>
      </w:r>
    </w:p>
    <w:p>
      <w:pPr>
        <w:spacing w:line="600" w:lineRule="exact"/>
        <w:jc w:val="center"/>
        <w:rPr>
          <w:rFonts w:ascii="方正小标宋简体" w:eastAsia="方正小标宋简体" w:cs="方正小标宋简体"/>
          <w:color w:val="auto"/>
          <w:sz w:val="44"/>
          <w:szCs w:val="44"/>
        </w:rPr>
      </w:pPr>
      <w:r>
        <w:rPr>
          <w:rFonts w:hint="eastAsia" w:ascii="方正小标宋简体" w:eastAsia="方正小标宋简体" w:cs="方正小标宋简体"/>
          <w:color w:val="auto"/>
          <w:sz w:val="44"/>
          <w:szCs w:val="44"/>
        </w:rPr>
        <w:t>首末次会议签到表</w:t>
      </w:r>
    </w:p>
    <w:tbl>
      <w:tblPr>
        <w:tblStyle w:val="13"/>
        <w:tblW w:w="89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9"/>
        <w:gridCol w:w="1417"/>
        <w:gridCol w:w="1469"/>
        <w:gridCol w:w="1513"/>
        <w:gridCol w:w="1522"/>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629" w:type="dxa"/>
            <w:tcBorders>
              <w:top w:val="single" w:color="auto" w:sz="12" w:space="0"/>
              <w:left w:val="single" w:color="auto" w:sz="12" w:space="0"/>
              <w:bottom w:val="single" w:color="auto" w:sz="4" w:space="0"/>
              <w:right w:val="single" w:color="auto" w:sz="4" w:space="0"/>
            </w:tcBorders>
            <w:vAlign w:val="center"/>
          </w:tcPr>
          <w:p>
            <w:pPr>
              <w:snapToGrid w:val="0"/>
              <w:spacing w:line="360" w:lineRule="exact"/>
              <w:jc w:val="center"/>
              <w:rPr>
                <w:rFonts w:eastAsia="仿宋_GB2312"/>
                <w:color w:val="auto"/>
                <w:sz w:val="28"/>
                <w:szCs w:val="28"/>
              </w:rPr>
            </w:pPr>
            <w:r>
              <w:rPr>
                <w:rFonts w:hint="eastAsia" w:eastAsia="仿宋_GB2312"/>
                <w:color w:val="auto"/>
                <w:sz w:val="28"/>
                <w:szCs w:val="28"/>
              </w:rPr>
              <w:t>申请人名称</w:t>
            </w:r>
          </w:p>
        </w:tc>
        <w:tc>
          <w:tcPr>
            <w:tcW w:w="7296" w:type="dxa"/>
            <w:gridSpan w:val="5"/>
            <w:tcBorders>
              <w:top w:val="single" w:color="auto" w:sz="12" w:space="0"/>
              <w:left w:val="single" w:color="auto" w:sz="4" w:space="0"/>
              <w:bottom w:val="single" w:color="auto" w:sz="4" w:space="0"/>
              <w:right w:val="single" w:color="auto" w:sz="12" w:space="0"/>
            </w:tcBorders>
            <w:vAlign w:val="center"/>
          </w:tcPr>
          <w:p>
            <w:pPr>
              <w:snapToGrid w:val="0"/>
              <w:spacing w:line="500" w:lineRule="exact"/>
              <w:jc w:val="center"/>
              <w:rPr>
                <w:rFonts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629" w:type="dxa"/>
            <w:vMerge w:val="restart"/>
            <w:tcBorders>
              <w:top w:val="single" w:color="auto" w:sz="4" w:space="0"/>
              <w:left w:val="single" w:color="auto" w:sz="12" w:space="0"/>
              <w:bottom w:val="single" w:color="auto" w:sz="4" w:space="0"/>
              <w:right w:val="single" w:color="auto" w:sz="4" w:space="0"/>
            </w:tcBorders>
            <w:vAlign w:val="center"/>
          </w:tcPr>
          <w:p>
            <w:pPr>
              <w:snapToGrid w:val="0"/>
              <w:spacing w:line="500" w:lineRule="exact"/>
              <w:jc w:val="center"/>
              <w:rPr>
                <w:rFonts w:eastAsia="仿宋_GB2312"/>
                <w:color w:val="auto"/>
                <w:sz w:val="28"/>
                <w:szCs w:val="28"/>
              </w:rPr>
            </w:pPr>
            <w:r>
              <w:rPr>
                <w:rFonts w:hint="eastAsia" w:eastAsia="仿宋_GB2312"/>
                <w:color w:val="auto"/>
                <w:sz w:val="28"/>
                <w:szCs w:val="28"/>
              </w:rPr>
              <w:t>核查组</w:t>
            </w: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eastAsia="仿宋_GB2312"/>
                <w:color w:val="auto"/>
                <w:sz w:val="28"/>
                <w:szCs w:val="28"/>
              </w:rPr>
            </w:pPr>
            <w:r>
              <w:rPr>
                <w:rFonts w:hint="eastAsia" w:eastAsia="仿宋_GB2312"/>
                <w:color w:val="auto"/>
                <w:sz w:val="28"/>
                <w:szCs w:val="28"/>
              </w:rPr>
              <w:t>核查组长</w:t>
            </w:r>
          </w:p>
        </w:tc>
        <w:tc>
          <w:tcPr>
            <w:tcW w:w="5879" w:type="dxa"/>
            <w:gridSpan w:val="4"/>
            <w:tcBorders>
              <w:top w:val="single" w:color="auto" w:sz="4" w:space="0"/>
              <w:left w:val="single" w:color="auto" w:sz="4" w:space="0"/>
              <w:bottom w:val="single" w:color="auto" w:sz="4" w:space="0"/>
              <w:right w:val="single" w:color="auto" w:sz="12" w:space="0"/>
            </w:tcBorders>
            <w:vAlign w:val="center"/>
          </w:tcPr>
          <w:p>
            <w:pPr>
              <w:snapToGrid w:val="0"/>
              <w:spacing w:line="500" w:lineRule="exact"/>
              <w:jc w:val="center"/>
              <w:rPr>
                <w:rFonts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629"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eastAsia="仿宋_GB2312"/>
                <w:color w:val="auto"/>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eastAsia="仿宋_GB2312"/>
                <w:color w:val="auto"/>
                <w:sz w:val="28"/>
                <w:szCs w:val="28"/>
              </w:rPr>
            </w:pPr>
            <w:r>
              <w:rPr>
                <w:rFonts w:hint="eastAsia" w:eastAsia="仿宋_GB2312"/>
                <w:color w:val="auto"/>
                <w:sz w:val="28"/>
                <w:szCs w:val="28"/>
              </w:rPr>
              <w:t>核查组员</w:t>
            </w:r>
          </w:p>
        </w:tc>
        <w:tc>
          <w:tcPr>
            <w:tcW w:w="5879" w:type="dxa"/>
            <w:gridSpan w:val="4"/>
            <w:tcBorders>
              <w:top w:val="single" w:color="auto" w:sz="4" w:space="0"/>
              <w:left w:val="single" w:color="auto" w:sz="4" w:space="0"/>
              <w:bottom w:val="single" w:color="auto" w:sz="4" w:space="0"/>
              <w:right w:val="single" w:color="auto" w:sz="12" w:space="0"/>
            </w:tcBorders>
            <w:vAlign w:val="center"/>
          </w:tcPr>
          <w:p>
            <w:pPr>
              <w:snapToGrid w:val="0"/>
              <w:spacing w:line="500" w:lineRule="exact"/>
              <w:jc w:val="center"/>
              <w:rPr>
                <w:rFonts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629" w:type="dxa"/>
            <w:vMerge w:val="continue"/>
            <w:tcBorders>
              <w:top w:val="single" w:color="auto" w:sz="4" w:space="0"/>
              <w:left w:val="single" w:color="auto" w:sz="12" w:space="0"/>
              <w:bottom w:val="single" w:color="auto" w:sz="12" w:space="0"/>
              <w:right w:val="single" w:color="auto" w:sz="4" w:space="0"/>
            </w:tcBorders>
            <w:vAlign w:val="center"/>
          </w:tcPr>
          <w:p>
            <w:pPr>
              <w:widowControl/>
              <w:jc w:val="left"/>
              <w:rPr>
                <w:rFonts w:eastAsia="仿宋_GB2312"/>
                <w:color w:val="auto"/>
                <w:sz w:val="28"/>
                <w:szCs w:val="28"/>
              </w:rPr>
            </w:pPr>
          </w:p>
        </w:tc>
        <w:tc>
          <w:tcPr>
            <w:tcW w:w="1417" w:type="dxa"/>
            <w:tcBorders>
              <w:top w:val="single" w:color="auto" w:sz="4" w:space="0"/>
              <w:left w:val="single" w:color="auto" w:sz="4" w:space="0"/>
              <w:bottom w:val="single" w:color="auto" w:sz="12" w:space="0"/>
              <w:right w:val="single" w:color="auto" w:sz="4" w:space="0"/>
            </w:tcBorders>
            <w:vAlign w:val="center"/>
          </w:tcPr>
          <w:p>
            <w:pPr>
              <w:snapToGrid w:val="0"/>
              <w:spacing w:line="500" w:lineRule="exact"/>
              <w:jc w:val="center"/>
              <w:rPr>
                <w:rFonts w:eastAsia="仿宋_GB2312"/>
                <w:color w:val="auto"/>
                <w:sz w:val="28"/>
                <w:szCs w:val="28"/>
              </w:rPr>
            </w:pPr>
            <w:r>
              <w:rPr>
                <w:rFonts w:hint="eastAsia" w:eastAsia="仿宋_GB2312"/>
                <w:color w:val="auto"/>
                <w:sz w:val="28"/>
                <w:szCs w:val="28"/>
              </w:rPr>
              <w:t>观察员</w:t>
            </w:r>
          </w:p>
        </w:tc>
        <w:tc>
          <w:tcPr>
            <w:tcW w:w="5879" w:type="dxa"/>
            <w:gridSpan w:val="4"/>
            <w:tcBorders>
              <w:top w:val="single" w:color="auto" w:sz="4" w:space="0"/>
              <w:left w:val="single" w:color="auto" w:sz="4" w:space="0"/>
              <w:bottom w:val="single" w:color="auto" w:sz="12" w:space="0"/>
              <w:right w:val="single" w:color="auto" w:sz="12" w:space="0"/>
            </w:tcBorders>
            <w:vAlign w:val="center"/>
          </w:tcPr>
          <w:p>
            <w:pPr>
              <w:snapToGrid w:val="0"/>
              <w:spacing w:line="500" w:lineRule="exact"/>
              <w:jc w:val="center"/>
              <w:rPr>
                <w:rFonts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629" w:type="dxa"/>
            <w:vMerge w:val="restart"/>
            <w:tcBorders>
              <w:top w:val="single" w:color="auto" w:sz="12" w:space="0"/>
              <w:left w:val="single" w:color="auto" w:sz="12" w:space="0"/>
              <w:bottom w:val="single" w:color="auto" w:sz="4" w:space="0"/>
              <w:right w:val="single" w:color="auto" w:sz="4" w:space="0"/>
            </w:tcBorders>
            <w:vAlign w:val="center"/>
          </w:tcPr>
          <w:p>
            <w:pPr>
              <w:snapToGrid w:val="0"/>
              <w:spacing w:line="500" w:lineRule="exact"/>
              <w:jc w:val="center"/>
              <w:rPr>
                <w:rFonts w:eastAsia="仿宋_GB2312"/>
                <w:b/>
                <w:color w:val="auto"/>
                <w:sz w:val="28"/>
                <w:szCs w:val="28"/>
              </w:rPr>
            </w:pPr>
            <w:r>
              <w:rPr>
                <w:rFonts w:hint="eastAsia" w:eastAsia="仿宋_GB2312"/>
                <w:b/>
                <w:color w:val="auto"/>
                <w:sz w:val="28"/>
                <w:szCs w:val="28"/>
              </w:rPr>
              <w:t>首次会议</w:t>
            </w:r>
          </w:p>
        </w:tc>
        <w:tc>
          <w:tcPr>
            <w:tcW w:w="1417" w:type="dxa"/>
            <w:tcBorders>
              <w:top w:val="single" w:color="auto" w:sz="12" w:space="0"/>
              <w:left w:val="single" w:color="auto" w:sz="4" w:space="0"/>
              <w:bottom w:val="single" w:color="auto" w:sz="4" w:space="0"/>
              <w:right w:val="single" w:color="auto" w:sz="4" w:space="0"/>
            </w:tcBorders>
            <w:vAlign w:val="center"/>
          </w:tcPr>
          <w:p>
            <w:pPr>
              <w:snapToGrid w:val="0"/>
              <w:spacing w:line="500" w:lineRule="exact"/>
              <w:jc w:val="center"/>
              <w:rPr>
                <w:rFonts w:eastAsia="仿宋_GB2312"/>
                <w:color w:val="auto"/>
                <w:sz w:val="28"/>
                <w:szCs w:val="28"/>
              </w:rPr>
            </w:pPr>
            <w:r>
              <w:rPr>
                <w:rFonts w:hint="eastAsia" w:eastAsia="仿宋_GB2312"/>
                <w:color w:val="auto"/>
                <w:sz w:val="28"/>
                <w:szCs w:val="28"/>
              </w:rPr>
              <w:t>会议时间</w:t>
            </w:r>
          </w:p>
        </w:tc>
        <w:tc>
          <w:tcPr>
            <w:tcW w:w="5879" w:type="dxa"/>
            <w:gridSpan w:val="4"/>
            <w:tcBorders>
              <w:top w:val="single" w:color="auto" w:sz="12" w:space="0"/>
              <w:left w:val="single" w:color="auto" w:sz="4" w:space="0"/>
              <w:bottom w:val="single" w:color="auto" w:sz="4" w:space="0"/>
              <w:right w:val="single" w:color="auto" w:sz="12" w:space="0"/>
            </w:tcBorders>
            <w:vAlign w:val="center"/>
          </w:tcPr>
          <w:p>
            <w:pPr>
              <w:wordWrap w:val="0"/>
              <w:snapToGrid w:val="0"/>
              <w:spacing w:line="500" w:lineRule="exact"/>
              <w:jc w:val="right"/>
              <w:rPr>
                <w:rFonts w:eastAsia="仿宋_GB2312"/>
                <w:color w:val="auto"/>
                <w:sz w:val="28"/>
                <w:szCs w:val="28"/>
              </w:rPr>
            </w:pPr>
            <w:r>
              <w:rPr>
                <w:rFonts w:hint="eastAsia" w:eastAsia="仿宋_GB2312"/>
                <w:color w:val="auto"/>
                <w:sz w:val="28"/>
                <w:szCs w:val="28"/>
              </w:rPr>
              <w:t xml:space="preserve">年  月 </w:t>
            </w:r>
            <w:r>
              <w:rPr>
                <w:rFonts w:eastAsia="仿宋_GB2312"/>
                <w:color w:val="auto"/>
                <w:sz w:val="28"/>
                <w:szCs w:val="28"/>
              </w:rPr>
              <w:t xml:space="preserve"> </w:t>
            </w:r>
            <w:r>
              <w:rPr>
                <w:rFonts w:hint="eastAsia" w:eastAsia="仿宋_GB2312"/>
                <w:color w:val="auto"/>
                <w:sz w:val="28"/>
                <w:szCs w:val="28"/>
              </w:rPr>
              <w:t xml:space="preserve">日  时  分至  时  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629"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eastAsia="仿宋_GB2312"/>
                <w:color w:val="auto"/>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eastAsia="仿宋_GB2312"/>
                <w:color w:val="auto"/>
                <w:sz w:val="28"/>
                <w:szCs w:val="28"/>
              </w:rPr>
            </w:pPr>
            <w:r>
              <w:rPr>
                <w:rFonts w:hint="eastAsia" w:eastAsia="仿宋_GB2312"/>
                <w:color w:val="auto"/>
                <w:sz w:val="28"/>
                <w:szCs w:val="28"/>
              </w:rPr>
              <w:t>会议地点</w:t>
            </w:r>
          </w:p>
        </w:tc>
        <w:tc>
          <w:tcPr>
            <w:tcW w:w="5879" w:type="dxa"/>
            <w:gridSpan w:val="4"/>
            <w:tcBorders>
              <w:top w:val="single" w:color="auto" w:sz="4" w:space="0"/>
              <w:left w:val="single" w:color="auto" w:sz="4" w:space="0"/>
              <w:bottom w:val="single" w:color="auto" w:sz="4" w:space="0"/>
              <w:right w:val="single" w:color="auto" w:sz="12" w:space="0"/>
            </w:tcBorders>
            <w:vAlign w:val="center"/>
          </w:tcPr>
          <w:p>
            <w:pPr>
              <w:snapToGrid w:val="0"/>
              <w:spacing w:line="500" w:lineRule="exact"/>
              <w:jc w:val="center"/>
              <w:rPr>
                <w:rFonts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925" w:type="dxa"/>
            <w:gridSpan w:val="6"/>
            <w:tcBorders>
              <w:top w:val="single" w:color="auto" w:sz="4" w:space="0"/>
              <w:left w:val="single" w:color="auto" w:sz="12" w:space="0"/>
              <w:bottom w:val="single" w:color="auto" w:sz="4" w:space="0"/>
              <w:right w:val="single" w:color="auto" w:sz="12" w:space="0"/>
            </w:tcBorders>
            <w:vAlign w:val="center"/>
          </w:tcPr>
          <w:p>
            <w:pPr>
              <w:snapToGrid w:val="0"/>
              <w:spacing w:line="500" w:lineRule="exact"/>
              <w:jc w:val="center"/>
              <w:rPr>
                <w:rFonts w:eastAsia="仿宋_GB2312"/>
                <w:color w:val="auto"/>
                <w:sz w:val="28"/>
                <w:szCs w:val="28"/>
              </w:rPr>
            </w:pPr>
            <w:r>
              <w:rPr>
                <w:rFonts w:hint="eastAsia" w:eastAsia="仿宋_GB2312"/>
                <w:color w:val="auto"/>
                <w:sz w:val="28"/>
                <w:szCs w:val="28"/>
              </w:rPr>
              <w:t>参加首次会议的申请人及有关人员签名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629" w:type="dxa"/>
            <w:tcBorders>
              <w:top w:val="single" w:color="auto" w:sz="4" w:space="0"/>
              <w:left w:val="single" w:color="auto" w:sz="12" w:space="0"/>
              <w:bottom w:val="single" w:color="auto" w:sz="4" w:space="0"/>
              <w:right w:val="single" w:color="auto" w:sz="4" w:space="0"/>
            </w:tcBorders>
            <w:vAlign w:val="center"/>
          </w:tcPr>
          <w:p>
            <w:pPr>
              <w:snapToGrid w:val="0"/>
              <w:spacing w:line="500" w:lineRule="exact"/>
              <w:jc w:val="center"/>
              <w:rPr>
                <w:rFonts w:eastAsia="仿宋_GB2312"/>
                <w:color w:val="auto"/>
                <w:sz w:val="28"/>
                <w:szCs w:val="28"/>
              </w:rPr>
            </w:pPr>
            <w:r>
              <w:rPr>
                <w:rFonts w:hint="eastAsia" w:eastAsia="仿宋_GB2312"/>
                <w:color w:val="auto"/>
                <w:sz w:val="28"/>
                <w:szCs w:val="28"/>
              </w:rPr>
              <w:t>签名</w:t>
            </w: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eastAsia="仿宋_GB2312"/>
                <w:color w:val="auto"/>
                <w:sz w:val="28"/>
                <w:szCs w:val="28"/>
              </w:rPr>
            </w:pPr>
            <w:r>
              <w:rPr>
                <w:rFonts w:hint="eastAsia" w:eastAsia="仿宋_GB2312"/>
                <w:color w:val="auto"/>
                <w:sz w:val="28"/>
                <w:szCs w:val="28"/>
              </w:rPr>
              <w:t>职务</w:t>
            </w:r>
          </w:p>
        </w:tc>
        <w:tc>
          <w:tcPr>
            <w:tcW w:w="1469"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eastAsia="仿宋_GB2312"/>
                <w:color w:val="auto"/>
                <w:sz w:val="28"/>
                <w:szCs w:val="28"/>
              </w:rPr>
            </w:pPr>
            <w:r>
              <w:rPr>
                <w:rFonts w:hint="eastAsia" w:eastAsia="仿宋_GB2312"/>
                <w:color w:val="auto"/>
                <w:sz w:val="28"/>
                <w:szCs w:val="28"/>
              </w:rPr>
              <w:t>签名</w:t>
            </w:r>
          </w:p>
        </w:tc>
        <w:tc>
          <w:tcPr>
            <w:tcW w:w="1513"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eastAsia="仿宋_GB2312"/>
                <w:color w:val="auto"/>
                <w:sz w:val="28"/>
                <w:szCs w:val="28"/>
              </w:rPr>
            </w:pPr>
            <w:r>
              <w:rPr>
                <w:rFonts w:hint="eastAsia" w:eastAsia="仿宋_GB2312"/>
                <w:color w:val="auto"/>
                <w:sz w:val="28"/>
                <w:szCs w:val="28"/>
              </w:rPr>
              <w:t>职务</w:t>
            </w:r>
          </w:p>
        </w:tc>
        <w:tc>
          <w:tcPr>
            <w:tcW w:w="1522"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eastAsia="仿宋_GB2312"/>
                <w:color w:val="auto"/>
                <w:sz w:val="28"/>
                <w:szCs w:val="28"/>
              </w:rPr>
            </w:pPr>
            <w:r>
              <w:rPr>
                <w:rFonts w:hint="eastAsia" w:eastAsia="仿宋_GB2312"/>
                <w:color w:val="auto"/>
                <w:sz w:val="28"/>
                <w:szCs w:val="28"/>
              </w:rPr>
              <w:t>签名</w:t>
            </w:r>
          </w:p>
        </w:tc>
        <w:tc>
          <w:tcPr>
            <w:tcW w:w="1375" w:type="dxa"/>
            <w:tcBorders>
              <w:top w:val="single" w:color="auto" w:sz="4" w:space="0"/>
              <w:left w:val="single" w:color="auto" w:sz="4" w:space="0"/>
              <w:bottom w:val="single" w:color="auto" w:sz="4" w:space="0"/>
              <w:right w:val="single" w:color="auto" w:sz="12" w:space="0"/>
            </w:tcBorders>
            <w:vAlign w:val="center"/>
          </w:tcPr>
          <w:p>
            <w:pPr>
              <w:snapToGrid w:val="0"/>
              <w:spacing w:line="500" w:lineRule="exact"/>
              <w:jc w:val="center"/>
              <w:rPr>
                <w:rFonts w:eastAsia="仿宋_GB2312"/>
                <w:color w:val="auto"/>
                <w:sz w:val="28"/>
                <w:szCs w:val="28"/>
              </w:rPr>
            </w:pPr>
            <w:r>
              <w:rPr>
                <w:rFonts w:hint="eastAsia" w:eastAsia="仿宋_GB2312"/>
                <w:color w:val="auto"/>
                <w:sz w:val="28"/>
                <w:szCs w:val="28"/>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629" w:type="dxa"/>
            <w:tcBorders>
              <w:top w:val="single" w:color="auto" w:sz="4" w:space="0"/>
              <w:left w:val="single" w:color="auto" w:sz="12" w:space="0"/>
              <w:bottom w:val="single" w:color="auto" w:sz="4" w:space="0"/>
              <w:right w:val="single" w:color="auto" w:sz="4" w:space="0"/>
            </w:tcBorders>
            <w:vAlign w:val="center"/>
          </w:tcPr>
          <w:p>
            <w:pPr>
              <w:snapToGrid w:val="0"/>
              <w:spacing w:line="500" w:lineRule="exact"/>
              <w:jc w:val="center"/>
              <w:rPr>
                <w:rFonts w:eastAsia="仿宋_GB2312"/>
                <w:color w:val="auto"/>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eastAsia="仿宋_GB2312"/>
                <w:color w:val="auto"/>
                <w:sz w:val="28"/>
                <w:szCs w:val="28"/>
              </w:rPr>
            </w:pPr>
          </w:p>
        </w:tc>
        <w:tc>
          <w:tcPr>
            <w:tcW w:w="1469"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eastAsia="仿宋_GB2312"/>
                <w:color w:val="auto"/>
                <w:sz w:val="28"/>
                <w:szCs w:val="28"/>
              </w:rPr>
            </w:pPr>
          </w:p>
        </w:tc>
        <w:tc>
          <w:tcPr>
            <w:tcW w:w="1513"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eastAsia="仿宋_GB2312"/>
                <w:color w:val="auto"/>
                <w:sz w:val="28"/>
                <w:szCs w:val="28"/>
              </w:rPr>
            </w:pPr>
          </w:p>
        </w:tc>
        <w:tc>
          <w:tcPr>
            <w:tcW w:w="1522"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eastAsia="仿宋_GB2312"/>
                <w:color w:val="auto"/>
                <w:sz w:val="28"/>
                <w:szCs w:val="28"/>
              </w:rPr>
            </w:pPr>
          </w:p>
        </w:tc>
        <w:tc>
          <w:tcPr>
            <w:tcW w:w="1375" w:type="dxa"/>
            <w:tcBorders>
              <w:top w:val="single" w:color="auto" w:sz="4" w:space="0"/>
              <w:left w:val="single" w:color="auto" w:sz="4" w:space="0"/>
              <w:bottom w:val="single" w:color="auto" w:sz="4" w:space="0"/>
              <w:right w:val="single" w:color="auto" w:sz="12" w:space="0"/>
            </w:tcBorders>
            <w:vAlign w:val="center"/>
          </w:tcPr>
          <w:p>
            <w:pPr>
              <w:snapToGrid w:val="0"/>
              <w:spacing w:line="500" w:lineRule="exact"/>
              <w:jc w:val="center"/>
              <w:rPr>
                <w:rFonts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629" w:type="dxa"/>
            <w:tcBorders>
              <w:top w:val="single" w:color="auto" w:sz="4" w:space="0"/>
              <w:left w:val="single" w:color="auto" w:sz="12" w:space="0"/>
              <w:bottom w:val="single" w:color="auto" w:sz="4" w:space="0"/>
              <w:right w:val="single" w:color="auto" w:sz="4" w:space="0"/>
            </w:tcBorders>
            <w:vAlign w:val="center"/>
          </w:tcPr>
          <w:p>
            <w:pPr>
              <w:snapToGrid w:val="0"/>
              <w:spacing w:line="500" w:lineRule="exact"/>
              <w:jc w:val="center"/>
              <w:rPr>
                <w:rFonts w:eastAsia="仿宋_GB2312"/>
                <w:color w:val="auto"/>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eastAsia="仿宋_GB2312"/>
                <w:color w:val="auto"/>
                <w:sz w:val="28"/>
                <w:szCs w:val="28"/>
              </w:rPr>
            </w:pPr>
          </w:p>
        </w:tc>
        <w:tc>
          <w:tcPr>
            <w:tcW w:w="1469"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eastAsia="仿宋_GB2312"/>
                <w:color w:val="auto"/>
                <w:sz w:val="28"/>
                <w:szCs w:val="28"/>
              </w:rPr>
            </w:pPr>
          </w:p>
        </w:tc>
        <w:tc>
          <w:tcPr>
            <w:tcW w:w="1513"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eastAsia="仿宋_GB2312"/>
                <w:color w:val="auto"/>
                <w:sz w:val="28"/>
                <w:szCs w:val="28"/>
              </w:rPr>
            </w:pPr>
          </w:p>
        </w:tc>
        <w:tc>
          <w:tcPr>
            <w:tcW w:w="1522"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eastAsia="仿宋_GB2312"/>
                <w:color w:val="auto"/>
                <w:sz w:val="28"/>
                <w:szCs w:val="28"/>
              </w:rPr>
            </w:pPr>
          </w:p>
        </w:tc>
        <w:tc>
          <w:tcPr>
            <w:tcW w:w="1375" w:type="dxa"/>
            <w:tcBorders>
              <w:top w:val="single" w:color="auto" w:sz="4" w:space="0"/>
              <w:left w:val="single" w:color="auto" w:sz="4" w:space="0"/>
              <w:bottom w:val="single" w:color="auto" w:sz="4" w:space="0"/>
              <w:right w:val="single" w:color="auto" w:sz="12" w:space="0"/>
            </w:tcBorders>
            <w:vAlign w:val="center"/>
          </w:tcPr>
          <w:p>
            <w:pPr>
              <w:snapToGrid w:val="0"/>
              <w:spacing w:line="500" w:lineRule="exact"/>
              <w:jc w:val="center"/>
              <w:rPr>
                <w:rFonts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629" w:type="dxa"/>
            <w:tcBorders>
              <w:top w:val="single" w:color="auto" w:sz="4" w:space="0"/>
              <w:left w:val="single" w:color="auto" w:sz="12" w:space="0"/>
              <w:bottom w:val="single" w:color="auto" w:sz="4" w:space="0"/>
              <w:right w:val="single" w:color="auto" w:sz="4" w:space="0"/>
            </w:tcBorders>
            <w:vAlign w:val="center"/>
          </w:tcPr>
          <w:p>
            <w:pPr>
              <w:snapToGrid w:val="0"/>
              <w:spacing w:line="500" w:lineRule="exact"/>
              <w:jc w:val="center"/>
              <w:rPr>
                <w:rFonts w:eastAsia="仿宋_GB2312"/>
                <w:color w:val="auto"/>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eastAsia="仿宋_GB2312"/>
                <w:color w:val="auto"/>
                <w:sz w:val="28"/>
                <w:szCs w:val="28"/>
              </w:rPr>
            </w:pPr>
          </w:p>
        </w:tc>
        <w:tc>
          <w:tcPr>
            <w:tcW w:w="1469"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eastAsia="仿宋_GB2312"/>
                <w:color w:val="auto"/>
                <w:sz w:val="28"/>
                <w:szCs w:val="28"/>
              </w:rPr>
            </w:pPr>
          </w:p>
        </w:tc>
        <w:tc>
          <w:tcPr>
            <w:tcW w:w="1513"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eastAsia="仿宋_GB2312"/>
                <w:color w:val="auto"/>
                <w:sz w:val="28"/>
                <w:szCs w:val="28"/>
              </w:rPr>
            </w:pPr>
          </w:p>
        </w:tc>
        <w:tc>
          <w:tcPr>
            <w:tcW w:w="1522"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eastAsia="仿宋_GB2312"/>
                <w:color w:val="auto"/>
                <w:sz w:val="28"/>
                <w:szCs w:val="28"/>
              </w:rPr>
            </w:pPr>
          </w:p>
        </w:tc>
        <w:tc>
          <w:tcPr>
            <w:tcW w:w="1375" w:type="dxa"/>
            <w:tcBorders>
              <w:top w:val="single" w:color="auto" w:sz="4" w:space="0"/>
              <w:left w:val="single" w:color="auto" w:sz="4" w:space="0"/>
              <w:bottom w:val="single" w:color="auto" w:sz="4" w:space="0"/>
              <w:right w:val="single" w:color="auto" w:sz="12" w:space="0"/>
            </w:tcBorders>
            <w:vAlign w:val="center"/>
          </w:tcPr>
          <w:p>
            <w:pPr>
              <w:snapToGrid w:val="0"/>
              <w:spacing w:line="500" w:lineRule="exact"/>
              <w:jc w:val="center"/>
              <w:rPr>
                <w:rFonts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629" w:type="dxa"/>
            <w:tcBorders>
              <w:top w:val="single" w:color="auto" w:sz="4" w:space="0"/>
              <w:left w:val="single" w:color="auto" w:sz="12" w:space="0"/>
              <w:bottom w:val="single" w:color="auto" w:sz="12" w:space="0"/>
              <w:right w:val="single" w:color="auto" w:sz="4" w:space="0"/>
            </w:tcBorders>
            <w:vAlign w:val="center"/>
          </w:tcPr>
          <w:p>
            <w:pPr>
              <w:snapToGrid w:val="0"/>
              <w:spacing w:line="500" w:lineRule="exact"/>
              <w:jc w:val="center"/>
              <w:rPr>
                <w:rFonts w:eastAsia="仿宋_GB2312"/>
                <w:color w:val="auto"/>
                <w:sz w:val="28"/>
                <w:szCs w:val="28"/>
              </w:rPr>
            </w:pPr>
          </w:p>
        </w:tc>
        <w:tc>
          <w:tcPr>
            <w:tcW w:w="1417" w:type="dxa"/>
            <w:tcBorders>
              <w:top w:val="single" w:color="auto" w:sz="4" w:space="0"/>
              <w:left w:val="single" w:color="auto" w:sz="4" w:space="0"/>
              <w:bottom w:val="single" w:color="auto" w:sz="12" w:space="0"/>
              <w:right w:val="single" w:color="auto" w:sz="4" w:space="0"/>
            </w:tcBorders>
            <w:vAlign w:val="center"/>
          </w:tcPr>
          <w:p>
            <w:pPr>
              <w:snapToGrid w:val="0"/>
              <w:spacing w:line="500" w:lineRule="exact"/>
              <w:jc w:val="center"/>
              <w:rPr>
                <w:rFonts w:eastAsia="仿宋_GB2312"/>
                <w:color w:val="auto"/>
                <w:sz w:val="28"/>
                <w:szCs w:val="28"/>
              </w:rPr>
            </w:pPr>
          </w:p>
        </w:tc>
        <w:tc>
          <w:tcPr>
            <w:tcW w:w="1469" w:type="dxa"/>
            <w:tcBorders>
              <w:top w:val="single" w:color="auto" w:sz="4" w:space="0"/>
              <w:left w:val="single" w:color="auto" w:sz="4" w:space="0"/>
              <w:bottom w:val="single" w:color="auto" w:sz="12" w:space="0"/>
              <w:right w:val="single" w:color="auto" w:sz="4" w:space="0"/>
            </w:tcBorders>
            <w:vAlign w:val="center"/>
          </w:tcPr>
          <w:p>
            <w:pPr>
              <w:snapToGrid w:val="0"/>
              <w:spacing w:line="500" w:lineRule="exact"/>
              <w:jc w:val="center"/>
              <w:rPr>
                <w:rFonts w:eastAsia="仿宋_GB2312"/>
                <w:color w:val="auto"/>
                <w:sz w:val="28"/>
                <w:szCs w:val="28"/>
              </w:rPr>
            </w:pPr>
          </w:p>
        </w:tc>
        <w:tc>
          <w:tcPr>
            <w:tcW w:w="1513" w:type="dxa"/>
            <w:tcBorders>
              <w:top w:val="single" w:color="auto" w:sz="4" w:space="0"/>
              <w:left w:val="single" w:color="auto" w:sz="4" w:space="0"/>
              <w:bottom w:val="single" w:color="auto" w:sz="12" w:space="0"/>
              <w:right w:val="single" w:color="auto" w:sz="4" w:space="0"/>
            </w:tcBorders>
            <w:vAlign w:val="center"/>
          </w:tcPr>
          <w:p>
            <w:pPr>
              <w:snapToGrid w:val="0"/>
              <w:spacing w:line="500" w:lineRule="exact"/>
              <w:jc w:val="center"/>
              <w:rPr>
                <w:rFonts w:eastAsia="仿宋_GB2312"/>
                <w:color w:val="auto"/>
                <w:sz w:val="28"/>
                <w:szCs w:val="28"/>
              </w:rPr>
            </w:pPr>
          </w:p>
        </w:tc>
        <w:tc>
          <w:tcPr>
            <w:tcW w:w="1522" w:type="dxa"/>
            <w:tcBorders>
              <w:top w:val="single" w:color="auto" w:sz="4" w:space="0"/>
              <w:left w:val="single" w:color="auto" w:sz="4" w:space="0"/>
              <w:bottom w:val="single" w:color="auto" w:sz="12" w:space="0"/>
              <w:right w:val="single" w:color="auto" w:sz="4" w:space="0"/>
            </w:tcBorders>
            <w:vAlign w:val="center"/>
          </w:tcPr>
          <w:p>
            <w:pPr>
              <w:snapToGrid w:val="0"/>
              <w:spacing w:line="500" w:lineRule="exact"/>
              <w:jc w:val="center"/>
              <w:rPr>
                <w:rFonts w:eastAsia="仿宋_GB2312"/>
                <w:color w:val="auto"/>
                <w:sz w:val="28"/>
                <w:szCs w:val="28"/>
              </w:rPr>
            </w:pPr>
          </w:p>
        </w:tc>
        <w:tc>
          <w:tcPr>
            <w:tcW w:w="1375" w:type="dxa"/>
            <w:tcBorders>
              <w:top w:val="single" w:color="auto" w:sz="4" w:space="0"/>
              <w:left w:val="single" w:color="auto" w:sz="4" w:space="0"/>
              <w:bottom w:val="single" w:color="auto" w:sz="12" w:space="0"/>
              <w:right w:val="single" w:color="auto" w:sz="12" w:space="0"/>
            </w:tcBorders>
            <w:vAlign w:val="center"/>
          </w:tcPr>
          <w:p>
            <w:pPr>
              <w:snapToGrid w:val="0"/>
              <w:spacing w:line="500" w:lineRule="exact"/>
              <w:jc w:val="center"/>
              <w:rPr>
                <w:rFonts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629" w:type="dxa"/>
            <w:vMerge w:val="restart"/>
            <w:tcBorders>
              <w:top w:val="single" w:color="auto" w:sz="12" w:space="0"/>
              <w:left w:val="single" w:color="auto" w:sz="12" w:space="0"/>
              <w:bottom w:val="single" w:color="auto" w:sz="4" w:space="0"/>
              <w:right w:val="single" w:color="auto" w:sz="4" w:space="0"/>
            </w:tcBorders>
            <w:vAlign w:val="center"/>
          </w:tcPr>
          <w:p>
            <w:pPr>
              <w:snapToGrid w:val="0"/>
              <w:spacing w:line="500" w:lineRule="exact"/>
              <w:jc w:val="center"/>
              <w:rPr>
                <w:rFonts w:eastAsia="仿宋_GB2312"/>
                <w:b/>
                <w:color w:val="auto"/>
                <w:sz w:val="28"/>
                <w:szCs w:val="28"/>
              </w:rPr>
            </w:pPr>
            <w:r>
              <w:rPr>
                <w:rFonts w:hint="eastAsia" w:eastAsia="仿宋_GB2312"/>
                <w:b/>
                <w:color w:val="auto"/>
                <w:sz w:val="28"/>
                <w:szCs w:val="28"/>
              </w:rPr>
              <w:t>末次会议</w:t>
            </w:r>
          </w:p>
        </w:tc>
        <w:tc>
          <w:tcPr>
            <w:tcW w:w="1417" w:type="dxa"/>
            <w:tcBorders>
              <w:top w:val="single" w:color="auto" w:sz="12" w:space="0"/>
              <w:left w:val="single" w:color="auto" w:sz="4" w:space="0"/>
              <w:bottom w:val="single" w:color="auto" w:sz="4" w:space="0"/>
              <w:right w:val="single" w:color="auto" w:sz="4" w:space="0"/>
            </w:tcBorders>
            <w:vAlign w:val="center"/>
          </w:tcPr>
          <w:p>
            <w:pPr>
              <w:snapToGrid w:val="0"/>
              <w:spacing w:line="500" w:lineRule="exact"/>
              <w:jc w:val="center"/>
              <w:rPr>
                <w:rFonts w:eastAsia="仿宋_GB2312"/>
                <w:color w:val="auto"/>
                <w:sz w:val="28"/>
                <w:szCs w:val="28"/>
              </w:rPr>
            </w:pPr>
            <w:r>
              <w:rPr>
                <w:rFonts w:hint="eastAsia" w:eastAsia="仿宋_GB2312"/>
                <w:color w:val="auto"/>
                <w:sz w:val="28"/>
                <w:szCs w:val="28"/>
              </w:rPr>
              <w:t>会议时间</w:t>
            </w:r>
          </w:p>
        </w:tc>
        <w:tc>
          <w:tcPr>
            <w:tcW w:w="5879" w:type="dxa"/>
            <w:gridSpan w:val="4"/>
            <w:tcBorders>
              <w:top w:val="single" w:color="auto" w:sz="12" w:space="0"/>
              <w:left w:val="single" w:color="auto" w:sz="4" w:space="0"/>
              <w:bottom w:val="single" w:color="auto" w:sz="4" w:space="0"/>
              <w:right w:val="single" w:color="auto" w:sz="12" w:space="0"/>
            </w:tcBorders>
            <w:vAlign w:val="center"/>
          </w:tcPr>
          <w:p>
            <w:pPr>
              <w:snapToGrid w:val="0"/>
              <w:spacing w:line="500" w:lineRule="exact"/>
              <w:jc w:val="right"/>
              <w:rPr>
                <w:rFonts w:eastAsia="仿宋_GB2312"/>
                <w:color w:val="auto"/>
                <w:sz w:val="28"/>
                <w:szCs w:val="28"/>
              </w:rPr>
            </w:pPr>
            <w:r>
              <w:rPr>
                <w:rFonts w:hint="eastAsia" w:eastAsia="仿宋_GB2312"/>
                <w:color w:val="auto"/>
                <w:sz w:val="28"/>
                <w:szCs w:val="28"/>
              </w:rPr>
              <w:t xml:space="preserve">年   月  </w:t>
            </w:r>
            <w:r>
              <w:rPr>
                <w:rFonts w:eastAsia="仿宋_GB2312"/>
                <w:color w:val="auto"/>
                <w:sz w:val="28"/>
                <w:szCs w:val="28"/>
              </w:rPr>
              <w:t xml:space="preserve"> </w:t>
            </w:r>
            <w:r>
              <w:rPr>
                <w:rFonts w:hint="eastAsia" w:eastAsia="仿宋_GB2312"/>
                <w:color w:val="auto"/>
                <w:sz w:val="28"/>
                <w:szCs w:val="28"/>
              </w:rPr>
              <w:t>日   时   分至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629"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eastAsia="仿宋_GB2312"/>
                <w:color w:val="auto"/>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eastAsia="仿宋_GB2312"/>
                <w:color w:val="auto"/>
                <w:sz w:val="28"/>
                <w:szCs w:val="28"/>
              </w:rPr>
            </w:pPr>
            <w:r>
              <w:rPr>
                <w:rFonts w:hint="eastAsia" w:eastAsia="仿宋_GB2312"/>
                <w:color w:val="auto"/>
                <w:sz w:val="28"/>
                <w:szCs w:val="28"/>
              </w:rPr>
              <w:t>会议地点</w:t>
            </w:r>
          </w:p>
        </w:tc>
        <w:tc>
          <w:tcPr>
            <w:tcW w:w="5879" w:type="dxa"/>
            <w:gridSpan w:val="4"/>
            <w:tcBorders>
              <w:top w:val="single" w:color="auto" w:sz="4" w:space="0"/>
              <w:left w:val="single" w:color="auto" w:sz="4" w:space="0"/>
              <w:bottom w:val="single" w:color="auto" w:sz="4" w:space="0"/>
              <w:right w:val="single" w:color="auto" w:sz="12" w:space="0"/>
            </w:tcBorders>
            <w:vAlign w:val="center"/>
          </w:tcPr>
          <w:p>
            <w:pPr>
              <w:snapToGrid w:val="0"/>
              <w:spacing w:line="500" w:lineRule="exact"/>
              <w:jc w:val="center"/>
              <w:rPr>
                <w:rFonts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925" w:type="dxa"/>
            <w:gridSpan w:val="6"/>
            <w:tcBorders>
              <w:top w:val="single" w:color="auto" w:sz="4" w:space="0"/>
              <w:left w:val="single" w:color="auto" w:sz="12" w:space="0"/>
              <w:bottom w:val="single" w:color="auto" w:sz="4" w:space="0"/>
              <w:right w:val="single" w:color="auto" w:sz="12" w:space="0"/>
            </w:tcBorders>
            <w:vAlign w:val="center"/>
          </w:tcPr>
          <w:p>
            <w:pPr>
              <w:snapToGrid w:val="0"/>
              <w:spacing w:line="500" w:lineRule="exact"/>
              <w:jc w:val="center"/>
              <w:rPr>
                <w:rFonts w:eastAsia="仿宋_GB2312"/>
                <w:color w:val="auto"/>
                <w:sz w:val="28"/>
                <w:szCs w:val="28"/>
              </w:rPr>
            </w:pPr>
            <w:r>
              <w:rPr>
                <w:rFonts w:hint="eastAsia" w:eastAsia="仿宋_GB2312"/>
                <w:color w:val="auto"/>
                <w:sz w:val="28"/>
                <w:szCs w:val="28"/>
              </w:rPr>
              <w:t>参加末次会议的申请人及有关人员签名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629" w:type="dxa"/>
            <w:tcBorders>
              <w:top w:val="single" w:color="auto" w:sz="4" w:space="0"/>
              <w:left w:val="single" w:color="auto" w:sz="12" w:space="0"/>
              <w:bottom w:val="single" w:color="auto" w:sz="4" w:space="0"/>
              <w:right w:val="single" w:color="auto" w:sz="4" w:space="0"/>
            </w:tcBorders>
            <w:vAlign w:val="center"/>
          </w:tcPr>
          <w:p>
            <w:pPr>
              <w:snapToGrid w:val="0"/>
              <w:spacing w:line="500" w:lineRule="exact"/>
              <w:jc w:val="center"/>
              <w:rPr>
                <w:rFonts w:eastAsia="仿宋_GB2312"/>
                <w:color w:val="auto"/>
                <w:sz w:val="28"/>
                <w:szCs w:val="28"/>
              </w:rPr>
            </w:pPr>
            <w:r>
              <w:rPr>
                <w:rFonts w:hint="eastAsia" w:eastAsia="仿宋_GB2312"/>
                <w:color w:val="auto"/>
                <w:sz w:val="28"/>
                <w:szCs w:val="28"/>
              </w:rPr>
              <w:t>签名</w:t>
            </w: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eastAsia="仿宋_GB2312"/>
                <w:color w:val="auto"/>
                <w:sz w:val="28"/>
                <w:szCs w:val="28"/>
              </w:rPr>
            </w:pPr>
            <w:r>
              <w:rPr>
                <w:rFonts w:hint="eastAsia" w:eastAsia="仿宋_GB2312"/>
                <w:color w:val="auto"/>
                <w:sz w:val="28"/>
                <w:szCs w:val="28"/>
              </w:rPr>
              <w:t>职务</w:t>
            </w:r>
          </w:p>
        </w:tc>
        <w:tc>
          <w:tcPr>
            <w:tcW w:w="1469"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eastAsia="仿宋_GB2312"/>
                <w:color w:val="auto"/>
                <w:sz w:val="28"/>
                <w:szCs w:val="28"/>
              </w:rPr>
            </w:pPr>
            <w:r>
              <w:rPr>
                <w:rFonts w:hint="eastAsia" w:eastAsia="仿宋_GB2312"/>
                <w:color w:val="auto"/>
                <w:sz w:val="28"/>
                <w:szCs w:val="28"/>
              </w:rPr>
              <w:t>签名</w:t>
            </w:r>
          </w:p>
        </w:tc>
        <w:tc>
          <w:tcPr>
            <w:tcW w:w="1513"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eastAsia="仿宋_GB2312"/>
                <w:color w:val="auto"/>
                <w:sz w:val="28"/>
                <w:szCs w:val="28"/>
              </w:rPr>
            </w:pPr>
            <w:r>
              <w:rPr>
                <w:rFonts w:hint="eastAsia" w:eastAsia="仿宋_GB2312"/>
                <w:color w:val="auto"/>
                <w:sz w:val="28"/>
                <w:szCs w:val="28"/>
              </w:rPr>
              <w:t>职务</w:t>
            </w:r>
          </w:p>
        </w:tc>
        <w:tc>
          <w:tcPr>
            <w:tcW w:w="1522"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eastAsia="仿宋_GB2312"/>
                <w:color w:val="auto"/>
                <w:sz w:val="28"/>
                <w:szCs w:val="28"/>
              </w:rPr>
            </w:pPr>
            <w:r>
              <w:rPr>
                <w:rFonts w:hint="eastAsia" w:eastAsia="仿宋_GB2312"/>
                <w:color w:val="auto"/>
                <w:sz w:val="28"/>
                <w:szCs w:val="28"/>
              </w:rPr>
              <w:t>签名</w:t>
            </w:r>
          </w:p>
        </w:tc>
        <w:tc>
          <w:tcPr>
            <w:tcW w:w="1375" w:type="dxa"/>
            <w:tcBorders>
              <w:top w:val="single" w:color="auto" w:sz="4" w:space="0"/>
              <w:left w:val="single" w:color="auto" w:sz="4" w:space="0"/>
              <w:bottom w:val="single" w:color="auto" w:sz="4" w:space="0"/>
              <w:right w:val="single" w:color="auto" w:sz="12" w:space="0"/>
            </w:tcBorders>
            <w:vAlign w:val="center"/>
          </w:tcPr>
          <w:p>
            <w:pPr>
              <w:snapToGrid w:val="0"/>
              <w:spacing w:line="500" w:lineRule="exact"/>
              <w:jc w:val="center"/>
              <w:rPr>
                <w:rFonts w:eastAsia="仿宋_GB2312"/>
                <w:color w:val="auto"/>
                <w:sz w:val="28"/>
                <w:szCs w:val="28"/>
              </w:rPr>
            </w:pPr>
            <w:r>
              <w:rPr>
                <w:rFonts w:hint="eastAsia" w:eastAsia="仿宋_GB2312"/>
                <w:color w:val="auto"/>
                <w:sz w:val="28"/>
                <w:szCs w:val="28"/>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629" w:type="dxa"/>
            <w:tcBorders>
              <w:top w:val="single" w:color="auto" w:sz="4" w:space="0"/>
              <w:left w:val="single" w:color="auto" w:sz="12" w:space="0"/>
              <w:bottom w:val="single" w:color="auto" w:sz="4" w:space="0"/>
              <w:right w:val="single" w:color="auto" w:sz="4" w:space="0"/>
            </w:tcBorders>
            <w:vAlign w:val="center"/>
          </w:tcPr>
          <w:p>
            <w:pPr>
              <w:snapToGrid w:val="0"/>
              <w:spacing w:line="500" w:lineRule="exact"/>
              <w:jc w:val="center"/>
              <w:rPr>
                <w:rFonts w:eastAsia="仿宋_GB2312"/>
                <w:color w:val="auto"/>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eastAsia="仿宋_GB2312"/>
                <w:color w:val="auto"/>
                <w:sz w:val="28"/>
                <w:szCs w:val="28"/>
              </w:rPr>
            </w:pPr>
          </w:p>
        </w:tc>
        <w:tc>
          <w:tcPr>
            <w:tcW w:w="1469"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eastAsia="仿宋_GB2312"/>
                <w:color w:val="auto"/>
                <w:sz w:val="28"/>
                <w:szCs w:val="28"/>
              </w:rPr>
            </w:pPr>
          </w:p>
        </w:tc>
        <w:tc>
          <w:tcPr>
            <w:tcW w:w="1513"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eastAsia="仿宋_GB2312"/>
                <w:color w:val="auto"/>
                <w:sz w:val="28"/>
                <w:szCs w:val="28"/>
              </w:rPr>
            </w:pPr>
          </w:p>
        </w:tc>
        <w:tc>
          <w:tcPr>
            <w:tcW w:w="1522"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eastAsia="仿宋_GB2312"/>
                <w:color w:val="auto"/>
                <w:sz w:val="28"/>
                <w:szCs w:val="28"/>
              </w:rPr>
            </w:pPr>
          </w:p>
        </w:tc>
        <w:tc>
          <w:tcPr>
            <w:tcW w:w="1375" w:type="dxa"/>
            <w:tcBorders>
              <w:top w:val="single" w:color="auto" w:sz="4" w:space="0"/>
              <w:left w:val="single" w:color="auto" w:sz="4" w:space="0"/>
              <w:bottom w:val="single" w:color="auto" w:sz="4" w:space="0"/>
              <w:right w:val="single" w:color="auto" w:sz="12" w:space="0"/>
            </w:tcBorders>
            <w:vAlign w:val="center"/>
          </w:tcPr>
          <w:p>
            <w:pPr>
              <w:snapToGrid w:val="0"/>
              <w:spacing w:line="500" w:lineRule="exact"/>
              <w:jc w:val="center"/>
              <w:rPr>
                <w:rFonts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629" w:type="dxa"/>
            <w:tcBorders>
              <w:top w:val="single" w:color="auto" w:sz="4" w:space="0"/>
              <w:left w:val="single" w:color="auto" w:sz="12" w:space="0"/>
              <w:bottom w:val="single" w:color="auto" w:sz="4" w:space="0"/>
              <w:right w:val="single" w:color="auto" w:sz="4" w:space="0"/>
            </w:tcBorders>
            <w:vAlign w:val="center"/>
          </w:tcPr>
          <w:p>
            <w:pPr>
              <w:snapToGrid w:val="0"/>
              <w:spacing w:line="500" w:lineRule="exact"/>
              <w:jc w:val="center"/>
              <w:rPr>
                <w:rFonts w:eastAsia="仿宋_GB2312"/>
                <w:color w:val="auto"/>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eastAsia="仿宋_GB2312"/>
                <w:color w:val="auto"/>
                <w:sz w:val="28"/>
                <w:szCs w:val="28"/>
              </w:rPr>
            </w:pPr>
          </w:p>
        </w:tc>
        <w:tc>
          <w:tcPr>
            <w:tcW w:w="1469"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eastAsia="仿宋_GB2312"/>
                <w:color w:val="auto"/>
                <w:sz w:val="28"/>
                <w:szCs w:val="28"/>
              </w:rPr>
            </w:pPr>
          </w:p>
        </w:tc>
        <w:tc>
          <w:tcPr>
            <w:tcW w:w="1513"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eastAsia="仿宋_GB2312"/>
                <w:color w:val="auto"/>
                <w:sz w:val="28"/>
                <w:szCs w:val="28"/>
              </w:rPr>
            </w:pPr>
          </w:p>
        </w:tc>
        <w:tc>
          <w:tcPr>
            <w:tcW w:w="1522"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eastAsia="仿宋_GB2312"/>
                <w:color w:val="auto"/>
                <w:sz w:val="28"/>
                <w:szCs w:val="28"/>
              </w:rPr>
            </w:pPr>
          </w:p>
        </w:tc>
        <w:tc>
          <w:tcPr>
            <w:tcW w:w="1375" w:type="dxa"/>
            <w:tcBorders>
              <w:top w:val="single" w:color="auto" w:sz="4" w:space="0"/>
              <w:left w:val="single" w:color="auto" w:sz="4" w:space="0"/>
              <w:bottom w:val="single" w:color="auto" w:sz="4" w:space="0"/>
              <w:right w:val="single" w:color="auto" w:sz="12" w:space="0"/>
            </w:tcBorders>
            <w:vAlign w:val="center"/>
          </w:tcPr>
          <w:p>
            <w:pPr>
              <w:snapToGrid w:val="0"/>
              <w:spacing w:line="500" w:lineRule="exact"/>
              <w:jc w:val="center"/>
              <w:rPr>
                <w:rFonts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629" w:type="dxa"/>
            <w:tcBorders>
              <w:top w:val="single" w:color="auto" w:sz="4" w:space="0"/>
              <w:left w:val="single" w:color="auto" w:sz="12" w:space="0"/>
              <w:bottom w:val="single" w:color="auto" w:sz="4" w:space="0"/>
              <w:right w:val="single" w:color="auto" w:sz="4" w:space="0"/>
            </w:tcBorders>
            <w:vAlign w:val="center"/>
          </w:tcPr>
          <w:p>
            <w:pPr>
              <w:snapToGrid w:val="0"/>
              <w:spacing w:line="500" w:lineRule="exact"/>
              <w:jc w:val="center"/>
              <w:rPr>
                <w:rFonts w:eastAsia="仿宋_GB2312"/>
                <w:color w:val="auto"/>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eastAsia="仿宋_GB2312"/>
                <w:color w:val="auto"/>
                <w:sz w:val="28"/>
                <w:szCs w:val="28"/>
              </w:rPr>
            </w:pPr>
          </w:p>
        </w:tc>
        <w:tc>
          <w:tcPr>
            <w:tcW w:w="1469"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eastAsia="仿宋_GB2312"/>
                <w:color w:val="auto"/>
                <w:sz w:val="28"/>
                <w:szCs w:val="28"/>
              </w:rPr>
            </w:pPr>
          </w:p>
        </w:tc>
        <w:tc>
          <w:tcPr>
            <w:tcW w:w="1513"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eastAsia="仿宋_GB2312"/>
                <w:color w:val="auto"/>
                <w:sz w:val="28"/>
                <w:szCs w:val="28"/>
              </w:rPr>
            </w:pPr>
          </w:p>
        </w:tc>
        <w:tc>
          <w:tcPr>
            <w:tcW w:w="1522"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eastAsia="仿宋_GB2312"/>
                <w:color w:val="auto"/>
                <w:sz w:val="28"/>
                <w:szCs w:val="28"/>
              </w:rPr>
            </w:pPr>
          </w:p>
        </w:tc>
        <w:tc>
          <w:tcPr>
            <w:tcW w:w="1375" w:type="dxa"/>
            <w:tcBorders>
              <w:top w:val="single" w:color="auto" w:sz="4" w:space="0"/>
              <w:left w:val="single" w:color="auto" w:sz="4" w:space="0"/>
              <w:bottom w:val="single" w:color="auto" w:sz="4" w:space="0"/>
              <w:right w:val="single" w:color="auto" w:sz="12" w:space="0"/>
            </w:tcBorders>
            <w:vAlign w:val="center"/>
          </w:tcPr>
          <w:p>
            <w:pPr>
              <w:snapToGrid w:val="0"/>
              <w:spacing w:line="500" w:lineRule="exact"/>
              <w:jc w:val="center"/>
              <w:rPr>
                <w:rFonts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629" w:type="dxa"/>
            <w:tcBorders>
              <w:top w:val="single" w:color="auto" w:sz="4" w:space="0"/>
              <w:left w:val="single" w:color="auto" w:sz="12" w:space="0"/>
              <w:bottom w:val="single" w:color="auto" w:sz="12" w:space="0"/>
              <w:right w:val="single" w:color="auto" w:sz="4" w:space="0"/>
            </w:tcBorders>
            <w:vAlign w:val="center"/>
          </w:tcPr>
          <w:p>
            <w:pPr>
              <w:snapToGrid w:val="0"/>
              <w:spacing w:line="500" w:lineRule="exact"/>
              <w:jc w:val="center"/>
              <w:rPr>
                <w:rFonts w:eastAsia="仿宋_GB2312"/>
                <w:color w:val="auto"/>
                <w:sz w:val="28"/>
                <w:szCs w:val="28"/>
              </w:rPr>
            </w:pPr>
          </w:p>
        </w:tc>
        <w:tc>
          <w:tcPr>
            <w:tcW w:w="1417" w:type="dxa"/>
            <w:tcBorders>
              <w:top w:val="single" w:color="auto" w:sz="4" w:space="0"/>
              <w:left w:val="single" w:color="auto" w:sz="4" w:space="0"/>
              <w:bottom w:val="single" w:color="auto" w:sz="12" w:space="0"/>
              <w:right w:val="single" w:color="auto" w:sz="4" w:space="0"/>
            </w:tcBorders>
            <w:vAlign w:val="center"/>
          </w:tcPr>
          <w:p>
            <w:pPr>
              <w:snapToGrid w:val="0"/>
              <w:spacing w:line="500" w:lineRule="exact"/>
              <w:jc w:val="center"/>
              <w:rPr>
                <w:rFonts w:eastAsia="仿宋_GB2312"/>
                <w:color w:val="auto"/>
                <w:sz w:val="28"/>
                <w:szCs w:val="28"/>
              </w:rPr>
            </w:pPr>
          </w:p>
        </w:tc>
        <w:tc>
          <w:tcPr>
            <w:tcW w:w="1469" w:type="dxa"/>
            <w:tcBorders>
              <w:top w:val="single" w:color="auto" w:sz="4" w:space="0"/>
              <w:left w:val="single" w:color="auto" w:sz="4" w:space="0"/>
              <w:bottom w:val="single" w:color="auto" w:sz="12" w:space="0"/>
              <w:right w:val="single" w:color="auto" w:sz="4" w:space="0"/>
            </w:tcBorders>
            <w:vAlign w:val="center"/>
          </w:tcPr>
          <w:p>
            <w:pPr>
              <w:snapToGrid w:val="0"/>
              <w:spacing w:line="500" w:lineRule="exact"/>
              <w:jc w:val="center"/>
              <w:rPr>
                <w:rFonts w:eastAsia="仿宋_GB2312"/>
                <w:color w:val="auto"/>
                <w:sz w:val="28"/>
                <w:szCs w:val="28"/>
              </w:rPr>
            </w:pPr>
          </w:p>
        </w:tc>
        <w:tc>
          <w:tcPr>
            <w:tcW w:w="1513" w:type="dxa"/>
            <w:tcBorders>
              <w:top w:val="single" w:color="auto" w:sz="4" w:space="0"/>
              <w:left w:val="single" w:color="auto" w:sz="4" w:space="0"/>
              <w:bottom w:val="single" w:color="auto" w:sz="12" w:space="0"/>
              <w:right w:val="single" w:color="auto" w:sz="4" w:space="0"/>
            </w:tcBorders>
            <w:vAlign w:val="center"/>
          </w:tcPr>
          <w:p>
            <w:pPr>
              <w:snapToGrid w:val="0"/>
              <w:spacing w:line="500" w:lineRule="exact"/>
              <w:jc w:val="center"/>
              <w:rPr>
                <w:rFonts w:eastAsia="仿宋_GB2312"/>
                <w:color w:val="auto"/>
                <w:sz w:val="28"/>
                <w:szCs w:val="28"/>
              </w:rPr>
            </w:pPr>
          </w:p>
        </w:tc>
        <w:tc>
          <w:tcPr>
            <w:tcW w:w="1522" w:type="dxa"/>
            <w:tcBorders>
              <w:top w:val="single" w:color="auto" w:sz="4" w:space="0"/>
              <w:left w:val="single" w:color="auto" w:sz="4" w:space="0"/>
              <w:bottom w:val="single" w:color="auto" w:sz="12" w:space="0"/>
              <w:right w:val="single" w:color="auto" w:sz="4" w:space="0"/>
            </w:tcBorders>
            <w:vAlign w:val="center"/>
          </w:tcPr>
          <w:p>
            <w:pPr>
              <w:snapToGrid w:val="0"/>
              <w:spacing w:line="500" w:lineRule="exact"/>
              <w:jc w:val="center"/>
              <w:rPr>
                <w:rFonts w:eastAsia="仿宋_GB2312"/>
                <w:color w:val="auto"/>
                <w:sz w:val="28"/>
                <w:szCs w:val="28"/>
              </w:rPr>
            </w:pPr>
          </w:p>
        </w:tc>
        <w:tc>
          <w:tcPr>
            <w:tcW w:w="1375" w:type="dxa"/>
            <w:tcBorders>
              <w:top w:val="single" w:color="auto" w:sz="4" w:space="0"/>
              <w:left w:val="single" w:color="auto" w:sz="4" w:space="0"/>
              <w:bottom w:val="single" w:color="auto" w:sz="12" w:space="0"/>
              <w:right w:val="single" w:color="auto" w:sz="12" w:space="0"/>
            </w:tcBorders>
            <w:vAlign w:val="center"/>
          </w:tcPr>
          <w:p>
            <w:pPr>
              <w:snapToGrid w:val="0"/>
              <w:spacing w:line="500" w:lineRule="exact"/>
              <w:jc w:val="center"/>
              <w:rPr>
                <w:rFonts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7" w:hRule="atLeast"/>
          <w:jc w:val="center"/>
        </w:trPr>
        <w:tc>
          <w:tcPr>
            <w:tcW w:w="1629" w:type="dxa"/>
            <w:tcBorders>
              <w:top w:val="single" w:color="auto" w:sz="12" w:space="0"/>
              <w:left w:val="single" w:color="auto" w:sz="12" w:space="0"/>
              <w:bottom w:val="single" w:color="auto" w:sz="12" w:space="0"/>
              <w:right w:val="single" w:color="auto" w:sz="4" w:space="0"/>
            </w:tcBorders>
            <w:vAlign w:val="center"/>
          </w:tcPr>
          <w:p>
            <w:pPr>
              <w:snapToGrid w:val="0"/>
              <w:spacing w:line="500" w:lineRule="exact"/>
              <w:jc w:val="center"/>
              <w:rPr>
                <w:rFonts w:eastAsia="仿宋_GB2312"/>
                <w:color w:val="auto"/>
                <w:sz w:val="28"/>
                <w:szCs w:val="28"/>
              </w:rPr>
            </w:pPr>
            <w:r>
              <w:rPr>
                <w:rFonts w:hint="eastAsia" w:eastAsia="仿宋_GB2312"/>
                <w:color w:val="auto"/>
                <w:sz w:val="28"/>
                <w:szCs w:val="28"/>
              </w:rPr>
              <w:t>备注</w:t>
            </w:r>
          </w:p>
        </w:tc>
        <w:tc>
          <w:tcPr>
            <w:tcW w:w="7296" w:type="dxa"/>
            <w:gridSpan w:val="5"/>
            <w:tcBorders>
              <w:top w:val="single" w:color="auto" w:sz="12" w:space="0"/>
              <w:left w:val="single" w:color="auto" w:sz="4" w:space="0"/>
              <w:bottom w:val="single" w:color="auto" w:sz="12" w:space="0"/>
              <w:right w:val="single" w:color="auto" w:sz="12" w:space="0"/>
            </w:tcBorders>
            <w:vAlign w:val="center"/>
          </w:tcPr>
          <w:p>
            <w:pPr>
              <w:snapToGrid w:val="0"/>
              <w:spacing w:line="500" w:lineRule="exact"/>
              <w:jc w:val="center"/>
              <w:rPr>
                <w:rFonts w:eastAsia="仿宋_GB2312"/>
                <w:color w:val="auto"/>
                <w:sz w:val="28"/>
                <w:szCs w:val="28"/>
              </w:rPr>
            </w:pPr>
          </w:p>
        </w:tc>
      </w:tr>
    </w:tbl>
    <w:p>
      <w:pPr>
        <w:shd w:val="clear" w:color="auto" w:fill="FFFFFF" w:themeFill="background1"/>
        <w:spacing w:line="600" w:lineRule="exact"/>
        <w:ind w:firstLine="1558" w:firstLineChars="487"/>
        <w:rPr>
          <w:rFonts w:ascii="仿宋" w:hAnsi="仿宋" w:eastAsia="仿宋"/>
          <w:color w:val="auto"/>
          <w:sz w:val="32"/>
          <w:szCs w:val="32"/>
        </w:rPr>
        <w:sectPr>
          <w:pgSz w:w="11906" w:h="16838"/>
          <w:pgMar w:top="1985" w:right="1474" w:bottom="1644" w:left="1474" w:header="1134" w:footer="1134" w:gutter="0"/>
          <w:pgNumType w:fmt="numberInDash"/>
          <w:cols w:space="0" w:num="1"/>
          <w:docGrid w:linePitch="286" w:charSpace="0"/>
        </w:sectPr>
      </w:pPr>
    </w:p>
    <w:p>
      <w:pPr>
        <w:spacing w:line="600" w:lineRule="exact"/>
        <w:outlineLvl w:val="0"/>
        <w:rPr>
          <w:rFonts w:ascii="黑体" w:hAnsi="黑体" w:eastAsia="黑体"/>
          <w:color w:val="auto"/>
          <w:sz w:val="32"/>
          <w:szCs w:val="32"/>
        </w:rPr>
      </w:pPr>
      <w:bookmarkStart w:id="1" w:name="YinFaJiGuanΩ1"/>
      <w:bookmarkEnd w:id="1"/>
      <w:bookmarkStart w:id="2" w:name="YinFaRiQiΩ1"/>
      <w:bookmarkEnd w:id="2"/>
      <w:r>
        <w:rPr>
          <w:rFonts w:hint="eastAsia" w:ascii="黑体" w:hAnsi="黑体" w:eastAsia="黑体"/>
          <w:color w:val="auto"/>
          <w:sz w:val="32"/>
          <w:szCs w:val="32"/>
        </w:rPr>
        <w:t>附件2</w:t>
      </w:r>
    </w:p>
    <w:p>
      <w:pPr>
        <w:snapToGrid w:val="0"/>
        <w:spacing w:line="360" w:lineRule="auto"/>
        <w:jc w:val="center"/>
        <w:rPr>
          <w:rFonts w:ascii="方正仿宋简体" w:hAnsi="方正大标宋简体" w:eastAsia="方正仿宋简体"/>
          <w:color w:val="auto"/>
          <w:sz w:val="48"/>
          <w:szCs w:val="48"/>
        </w:rPr>
      </w:pPr>
    </w:p>
    <w:p>
      <w:pPr>
        <w:spacing w:line="600" w:lineRule="exact"/>
        <w:jc w:val="center"/>
        <w:rPr>
          <w:rFonts w:ascii="方正小标宋简体" w:eastAsia="方正小标宋简体" w:cs="方正小标宋简体"/>
          <w:color w:val="auto"/>
          <w:sz w:val="44"/>
          <w:szCs w:val="44"/>
        </w:rPr>
      </w:pPr>
      <w:r>
        <w:rPr>
          <w:rFonts w:hint="eastAsia" w:ascii="方正小标宋简体" w:eastAsia="方正小标宋简体" w:cs="方正小标宋简体"/>
          <w:color w:val="auto"/>
          <w:sz w:val="44"/>
          <w:szCs w:val="44"/>
        </w:rPr>
        <w:t>食品、食品添加剂生产许可现场核查评分记录表</w:t>
      </w:r>
    </w:p>
    <w:p>
      <w:pPr>
        <w:adjustRightInd w:val="0"/>
        <w:snapToGrid w:val="0"/>
        <w:spacing w:line="360" w:lineRule="auto"/>
        <w:ind w:right="-29" w:rightChars="-14" w:firstLine="1841" w:firstLineChars="877"/>
        <w:jc w:val="left"/>
        <w:rPr>
          <w:rFonts w:ascii="方正仿宋简体" w:eastAsia="方正仿宋简体"/>
          <w:color w:val="auto"/>
          <w:szCs w:val="21"/>
        </w:rPr>
      </w:pPr>
    </w:p>
    <w:p>
      <w:pPr>
        <w:adjustRightInd w:val="0"/>
        <w:snapToGrid w:val="0"/>
        <w:spacing w:before="240" w:beforeLines="100" w:line="600" w:lineRule="exact"/>
        <w:ind w:firstLine="2560" w:firstLineChars="800"/>
        <w:jc w:val="left"/>
        <w:rPr>
          <w:rFonts w:eastAsia="仿宋_GB2312"/>
          <w:color w:val="auto"/>
          <w:sz w:val="32"/>
          <w:szCs w:val="32"/>
          <w:u w:val="single"/>
        </w:rPr>
      </w:pPr>
      <w:r>
        <w:rPr>
          <w:rFonts w:hint="eastAsia" w:eastAsia="仿宋_GB2312"/>
          <w:color w:val="auto"/>
          <w:sz w:val="32"/>
          <w:szCs w:val="32"/>
        </w:rPr>
        <w:t>申请人名称：</w:t>
      </w:r>
      <w:r>
        <w:rPr>
          <w:rFonts w:hint="eastAsia" w:eastAsia="仿宋_GB2312"/>
          <w:color w:val="auto"/>
          <w:sz w:val="32"/>
          <w:szCs w:val="32"/>
          <w:u w:val="single"/>
        </w:rPr>
        <w:t xml:space="preserve">                                  </w:t>
      </w:r>
    </w:p>
    <w:p>
      <w:pPr>
        <w:adjustRightInd w:val="0"/>
        <w:snapToGrid w:val="0"/>
        <w:spacing w:before="240" w:beforeLines="100" w:line="600" w:lineRule="exact"/>
        <w:ind w:firstLine="2560" w:firstLineChars="800"/>
        <w:jc w:val="left"/>
        <w:rPr>
          <w:rFonts w:eastAsia="仿宋_GB2312"/>
          <w:color w:val="auto"/>
          <w:sz w:val="32"/>
          <w:szCs w:val="32"/>
          <w:u w:val="single"/>
        </w:rPr>
      </w:pPr>
      <w:r>
        <w:rPr>
          <w:rFonts w:hint="eastAsia" w:eastAsia="仿宋_GB2312"/>
          <w:color w:val="auto"/>
          <w:sz w:val="32"/>
          <w:szCs w:val="32"/>
        </w:rPr>
        <w:t>食品、食品添加剂类别及类别名称：</w:t>
      </w:r>
      <w:r>
        <w:rPr>
          <w:rFonts w:hint="eastAsia" w:eastAsia="仿宋_GB2312"/>
          <w:color w:val="auto"/>
          <w:sz w:val="32"/>
          <w:szCs w:val="32"/>
          <w:u w:val="single"/>
        </w:rPr>
        <w:t xml:space="preserve">          </w:t>
      </w:r>
      <w:r>
        <w:rPr>
          <w:rFonts w:eastAsia="仿宋_GB2312"/>
          <w:color w:val="auto"/>
          <w:sz w:val="32"/>
          <w:szCs w:val="32"/>
          <w:u w:val="single"/>
        </w:rPr>
        <w:t xml:space="preserve"> </w:t>
      </w:r>
      <w:r>
        <w:rPr>
          <w:rFonts w:hint="eastAsia" w:eastAsia="仿宋_GB2312"/>
          <w:color w:val="auto"/>
          <w:sz w:val="32"/>
          <w:szCs w:val="32"/>
          <w:u w:val="single"/>
        </w:rPr>
        <w:t xml:space="preserve">   </w:t>
      </w:r>
    </w:p>
    <w:p>
      <w:pPr>
        <w:adjustRightInd w:val="0"/>
        <w:snapToGrid w:val="0"/>
        <w:spacing w:before="240" w:beforeLines="100" w:line="600" w:lineRule="exact"/>
        <w:ind w:firstLine="2560" w:firstLineChars="800"/>
        <w:jc w:val="left"/>
        <w:rPr>
          <w:rFonts w:eastAsia="仿宋_GB2312"/>
          <w:color w:val="auto"/>
          <w:sz w:val="32"/>
          <w:szCs w:val="32"/>
          <w:u w:val="single"/>
        </w:rPr>
      </w:pPr>
      <w:r>
        <w:rPr>
          <w:rFonts w:hint="eastAsia" w:eastAsia="仿宋_GB2312"/>
          <w:color w:val="auto"/>
          <w:sz w:val="32"/>
          <w:szCs w:val="32"/>
        </w:rPr>
        <w:t>生产场所地址：</w:t>
      </w:r>
      <w:r>
        <w:rPr>
          <w:rFonts w:hint="eastAsia" w:eastAsia="仿宋_GB2312"/>
          <w:color w:val="auto"/>
          <w:sz w:val="32"/>
          <w:szCs w:val="32"/>
          <w:u w:val="single"/>
        </w:rPr>
        <w:t xml:space="preserve">                      </w:t>
      </w:r>
      <w:r>
        <w:rPr>
          <w:rFonts w:eastAsia="仿宋_GB2312"/>
          <w:color w:val="auto"/>
          <w:sz w:val="32"/>
          <w:szCs w:val="32"/>
          <w:u w:val="single"/>
        </w:rPr>
        <w:t xml:space="preserve"> </w:t>
      </w:r>
      <w:r>
        <w:rPr>
          <w:rFonts w:hint="eastAsia" w:eastAsia="仿宋_GB2312"/>
          <w:color w:val="auto"/>
          <w:sz w:val="32"/>
          <w:szCs w:val="32"/>
          <w:u w:val="single"/>
        </w:rPr>
        <w:t xml:space="preserve">         </w:t>
      </w:r>
    </w:p>
    <w:p>
      <w:pPr>
        <w:adjustRightInd w:val="0"/>
        <w:spacing w:before="240" w:beforeLines="100" w:line="600" w:lineRule="exact"/>
        <w:ind w:firstLine="2560" w:firstLineChars="800"/>
        <w:jc w:val="left"/>
        <w:rPr>
          <w:rFonts w:eastAsia="仿宋_GB2312"/>
          <w:color w:val="auto"/>
          <w:sz w:val="48"/>
          <w:szCs w:val="48"/>
        </w:rPr>
      </w:pPr>
      <w:r>
        <w:rPr>
          <w:rFonts w:hint="eastAsia" w:eastAsia="仿宋_GB2312"/>
          <w:color w:val="auto"/>
          <w:sz w:val="32"/>
          <w:szCs w:val="32"/>
        </w:rPr>
        <w:t>核查日期：</w:t>
      </w:r>
      <w:r>
        <w:rPr>
          <w:rFonts w:hint="eastAsia" w:eastAsia="仿宋_GB2312"/>
          <w:color w:val="auto"/>
          <w:sz w:val="32"/>
          <w:szCs w:val="32"/>
          <w:u w:val="single"/>
        </w:rPr>
        <w:t xml:space="preserve">        </w:t>
      </w:r>
      <w:r>
        <w:rPr>
          <w:rFonts w:eastAsia="仿宋_GB2312"/>
          <w:color w:val="auto"/>
          <w:sz w:val="32"/>
          <w:szCs w:val="32"/>
          <w:u w:val="single"/>
        </w:rPr>
        <w:t xml:space="preserve"> </w:t>
      </w:r>
      <w:r>
        <w:rPr>
          <w:rFonts w:hint="eastAsia" w:eastAsia="仿宋_GB2312"/>
          <w:color w:val="auto"/>
          <w:sz w:val="32"/>
          <w:szCs w:val="32"/>
          <w:u w:val="single"/>
        </w:rPr>
        <w:t xml:space="preserve"> 年   </w:t>
      </w:r>
      <w:r>
        <w:rPr>
          <w:rFonts w:eastAsia="仿宋_GB2312"/>
          <w:color w:val="auto"/>
          <w:sz w:val="32"/>
          <w:szCs w:val="32"/>
          <w:u w:val="single"/>
        </w:rPr>
        <w:t xml:space="preserve"> </w:t>
      </w:r>
      <w:r>
        <w:rPr>
          <w:rFonts w:hint="eastAsia" w:eastAsia="仿宋_GB2312"/>
          <w:color w:val="auto"/>
          <w:sz w:val="32"/>
          <w:szCs w:val="32"/>
          <w:u w:val="single"/>
        </w:rPr>
        <w:t xml:space="preserve">      月    </w:t>
      </w:r>
      <w:r>
        <w:rPr>
          <w:rFonts w:eastAsia="仿宋_GB2312"/>
          <w:color w:val="auto"/>
          <w:sz w:val="32"/>
          <w:szCs w:val="32"/>
          <w:u w:val="single"/>
        </w:rPr>
        <w:t xml:space="preserve"> </w:t>
      </w:r>
      <w:r>
        <w:rPr>
          <w:rFonts w:hint="eastAsia" w:eastAsia="仿宋_GB2312"/>
          <w:color w:val="auto"/>
          <w:sz w:val="32"/>
          <w:szCs w:val="32"/>
          <w:u w:val="single"/>
        </w:rPr>
        <w:t xml:space="preserve">     日</w:t>
      </w:r>
    </w:p>
    <w:p>
      <w:pPr>
        <w:widowControl/>
        <w:jc w:val="left"/>
        <w:rPr>
          <w:rFonts w:ascii="方正小标宋简体" w:eastAsia="方正小标宋简体" w:cs="方正小标宋简体"/>
          <w:color w:val="auto"/>
          <w:sz w:val="36"/>
          <w:szCs w:val="36"/>
        </w:rPr>
        <w:sectPr>
          <w:pgSz w:w="16838" w:h="11906" w:orient="landscape"/>
          <w:pgMar w:top="1701" w:right="1701" w:bottom="1701" w:left="1701" w:header="1134" w:footer="1134" w:gutter="0"/>
          <w:pgNumType w:fmt="numberInDash"/>
          <w:cols w:space="720" w:num="1"/>
          <w:docGrid w:linePitch="286" w:charSpace="0"/>
        </w:sectPr>
      </w:pPr>
    </w:p>
    <w:p>
      <w:pPr>
        <w:spacing w:line="600" w:lineRule="exact"/>
        <w:rPr>
          <w:rFonts w:ascii="方正小标宋简体" w:eastAsia="方正小标宋简体" w:cs="方正小标宋简体"/>
          <w:color w:val="auto"/>
          <w:sz w:val="36"/>
          <w:szCs w:val="36"/>
        </w:rPr>
      </w:pPr>
    </w:p>
    <w:tbl>
      <w:tblPr>
        <w:tblStyle w:val="13"/>
        <w:tblW w:w="123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8"/>
        <w:gridCol w:w="1979"/>
        <w:gridCol w:w="5551"/>
        <w:gridCol w:w="1128"/>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08"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auto"/>
                <w:sz w:val="24"/>
              </w:rPr>
            </w:pPr>
            <w:r>
              <w:rPr>
                <w:rFonts w:hint="eastAsia" w:eastAsia="仿宋_GB2312"/>
                <w:color w:val="auto"/>
                <w:sz w:val="24"/>
              </w:rPr>
              <w:t>核</w:t>
            </w:r>
          </w:p>
          <w:p>
            <w:pPr>
              <w:spacing w:line="400" w:lineRule="exact"/>
              <w:jc w:val="center"/>
              <w:rPr>
                <w:rFonts w:eastAsia="仿宋_GB2312"/>
                <w:color w:val="auto"/>
                <w:sz w:val="24"/>
              </w:rPr>
            </w:pPr>
            <w:r>
              <w:rPr>
                <w:rFonts w:hint="eastAsia" w:eastAsia="仿宋_GB2312"/>
                <w:color w:val="auto"/>
                <w:sz w:val="24"/>
              </w:rPr>
              <w:t>查</w:t>
            </w:r>
          </w:p>
          <w:p>
            <w:pPr>
              <w:spacing w:line="400" w:lineRule="exact"/>
              <w:jc w:val="center"/>
              <w:rPr>
                <w:rFonts w:eastAsia="仿宋_GB2312"/>
                <w:color w:val="auto"/>
                <w:sz w:val="24"/>
              </w:rPr>
            </w:pPr>
            <w:r>
              <w:rPr>
                <w:rFonts w:hint="eastAsia" w:eastAsia="仿宋_GB2312"/>
                <w:color w:val="auto"/>
                <w:sz w:val="24"/>
              </w:rPr>
              <w:t>组</w:t>
            </w:r>
          </w:p>
          <w:p>
            <w:pPr>
              <w:spacing w:line="400" w:lineRule="exact"/>
              <w:jc w:val="center"/>
              <w:rPr>
                <w:rFonts w:eastAsia="仿宋_GB2312"/>
                <w:color w:val="auto"/>
                <w:sz w:val="24"/>
              </w:rPr>
            </w:pPr>
            <w:r>
              <w:rPr>
                <w:rFonts w:hint="eastAsia" w:eastAsia="仿宋_GB2312"/>
                <w:color w:val="auto"/>
                <w:sz w:val="24"/>
              </w:rPr>
              <w:t>成</w:t>
            </w:r>
          </w:p>
          <w:p>
            <w:pPr>
              <w:spacing w:line="400" w:lineRule="exact"/>
              <w:jc w:val="center"/>
              <w:rPr>
                <w:rFonts w:eastAsia="仿宋_GB2312"/>
                <w:color w:val="auto"/>
                <w:sz w:val="24"/>
              </w:rPr>
            </w:pPr>
            <w:r>
              <w:rPr>
                <w:rFonts w:hint="eastAsia" w:eastAsia="仿宋_GB2312"/>
                <w:color w:val="auto"/>
                <w:sz w:val="24"/>
              </w:rPr>
              <w:t>员</w:t>
            </w:r>
          </w:p>
        </w:tc>
        <w:tc>
          <w:tcPr>
            <w:tcW w:w="19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auto"/>
                <w:sz w:val="24"/>
              </w:rPr>
            </w:pPr>
            <w:r>
              <w:rPr>
                <w:rFonts w:hint="eastAsia" w:eastAsia="仿宋_GB2312"/>
                <w:color w:val="auto"/>
                <w:sz w:val="24"/>
              </w:rPr>
              <w:t>姓名（签名）</w:t>
            </w:r>
          </w:p>
        </w:tc>
        <w:tc>
          <w:tcPr>
            <w:tcW w:w="55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auto"/>
                <w:sz w:val="24"/>
              </w:rPr>
            </w:pPr>
            <w:r>
              <w:rPr>
                <w:rFonts w:hint="eastAsia" w:eastAsia="仿宋_GB2312"/>
                <w:color w:val="auto"/>
                <w:sz w:val="24"/>
              </w:rPr>
              <w:t>单位</w:t>
            </w:r>
          </w:p>
        </w:tc>
        <w:tc>
          <w:tcPr>
            <w:tcW w:w="112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auto"/>
                <w:sz w:val="24"/>
              </w:rPr>
            </w:pPr>
            <w:r>
              <w:rPr>
                <w:rFonts w:hint="eastAsia" w:eastAsia="仿宋_GB2312"/>
                <w:color w:val="auto"/>
                <w:sz w:val="24"/>
              </w:rPr>
              <w:t>职务</w:t>
            </w:r>
          </w:p>
        </w:tc>
        <w:tc>
          <w:tcPr>
            <w:tcW w:w="31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auto"/>
                <w:sz w:val="24"/>
              </w:rPr>
            </w:pPr>
            <w:r>
              <w:rPr>
                <w:rFonts w:hint="eastAsia" w:eastAsia="仿宋_GB2312"/>
                <w:color w:val="auto"/>
                <w:sz w:val="24"/>
              </w:rPr>
              <w:t>核查分工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auto"/>
                <w:sz w:val="24"/>
              </w:rPr>
            </w:pPr>
          </w:p>
        </w:tc>
        <w:tc>
          <w:tcPr>
            <w:tcW w:w="19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auto"/>
                <w:sz w:val="24"/>
              </w:rPr>
            </w:pPr>
          </w:p>
        </w:tc>
        <w:tc>
          <w:tcPr>
            <w:tcW w:w="55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auto"/>
                <w:sz w:val="24"/>
              </w:rPr>
            </w:pPr>
          </w:p>
        </w:tc>
        <w:tc>
          <w:tcPr>
            <w:tcW w:w="112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auto"/>
                <w:sz w:val="24"/>
              </w:rPr>
            </w:pPr>
            <w:r>
              <w:rPr>
                <w:rFonts w:hint="eastAsia" w:eastAsia="仿宋_GB2312"/>
                <w:color w:val="auto"/>
                <w:sz w:val="24"/>
              </w:rPr>
              <w:t>组长</w:t>
            </w:r>
          </w:p>
        </w:tc>
        <w:tc>
          <w:tcPr>
            <w:tcW w:w="31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auto"/>
                <w:sz w:val="24"/>
              </w:rPr>
            </w:pPr>
          </w:p>
        </w:tc>
        <w:tc>
          <w:tcPr>
            <w:tcW w:w="19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auto"/>
                <w:sz w:val="24"/>
              </w:rPr>
            </w:pPr>
          </w:p>
        </w:tc>
        <w:tc>
          <w:tcPr>
            <w:tcW w:w="55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auto"/>
                <w:sz w:val="24"/>
              </w:rPr>
            </w:pPr>
          </w:p>
        </w:tc>
        <w:tc>
          <w:tcPr>
            <w:tcW w:w="112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auto"/>
                <w:sz w:val="24"/>
              </w:rPr>
            </w:pPr>
            <w:r>
              <w:rPr>
                <w:rFonts w:hint="eastAsia" w:eastAsia="仿宋_GB2312"/>
                <w:color w:val="auto"/>
                <w:sz w:val="24"/>
              </w:rPr>
              <w:t>组员</w:t>
            </w:r>
          </w:p>
        </w:tc>
        <w:tc>
          <w:tcPr>
            <w:tcW w:w="31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auto"/>
                <w:sz w:val="24"/>
              </w:rPr>
            </w:pPr>
          </w:p>
        </w:tc>
        <w:tc>
          <w:tcPr>
            <w:tcW w:w="19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auto"/>
                <w:sz w:val="24"/>
              </w:rPr>
            </w:pPr>
          </w:p>
        </w:tc>
        <w:tc>
          <w:tcPr>
            <w:tcW w:w="55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auto"/>
                <w:sz w:val="24"/>
              </w:rPr>
            </w:pPr>
          </w:p>
        </w:tc>
        <w:tc>
          <w:tcPr>
            <w:tcW w:w="112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auto"/>
                <w:sz w:val="24"/>
              </w:rPr>
            </w:pPr>
            <w:r>
              <w:rPr>
                <w:rFonts w:hint="eastAsia" w:eastAsia="仿宋_GB2312"/>
                <w:color w:val="auto"/>
                <w:sz w:val="24"/>
              </w:rPr>
              <w:t>组员</w:t>
            </w:r>
          </w:p>
        </w:tc>
        <w:tc>
          <w:tcPr>
            <w:tcW w:w="31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auto"/>
                <w:sz w:val="24"/>
              </w:rPr>
            </w:pPr>
          </w:p>
        </w:tc>
        <w:tc>
          <w:tcPr>
            <w:tcW w:w="19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auto"/>
                <w:sz w:val="24"/>
              </w:rPr>
            </w:pPr>
          </w:p>
        </w:tc>
        <w:tc>
          <w:tcPr>
            <w:tcW w:w="55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auto"/>
                <w:sz w:val="24"/>
              </w:rPr>
            </w:pPr>
          </w:p>
        </w:tc>
        <w:tc>
          <w:tcPr>
            <w:tcW w:w="1128"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color w:val="auto"/>
                <w:sz w:val="24"/>
              </w:rPr>
            </w:pPr>
          </w:p>
        </w:tc>
        <w:tc>
          <w:tcPr>
            <w:tcW w:w="31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auto"/>
                <w:sz w:val="24"/>
              </w:rPr>
            </w:pPr>
          </w:p>
        </w:tc>
        <w:tc>
          <w:tcPr>
            <w:tcW w:w="19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auto"/>
                <w:sz w:val="24"/>
              </w:rPr>
            </w:pPr>
          </w:p>
        </w:tc>
        <w:tc>
          <w:tcPr>
            <w:tcW w:w="55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auto"/>
                <w:sz w:val="24"/>
              </w:rPr>
            </w:pPr>
          </w:p>
        </w:tc>
        <w:tc>
          <w:tcPr>
            <w:tcW w:w="1128"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color w:val="auto"/>
                <w:sz w:val="24"/>
              </w:rPr>
            </w:pPr>
          </w:p>
        </w:tc>
        <w:tc>
          <w:tcPr>
            <w:tcW w:w="31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auto"/>
                <w:sz w:val="24"/>
              </w:rPr>
            </w:pPr>
          </w:p>
        </w:tc>
        <w:tc>
          <w:tcPr>
            <w:tcW w:w="19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auto"/>
                <w:sz w:val="24"/>
              </w:rPr>
            </w:pPr>
          </w:p>
        </w:tc>
        <w:tc>
          <w:tcPr>
            <w:tcW w:w="55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auto"/>
                <w:sz w:val="24"/>
              </w:rPr>
            </w:pPr>
          </w:p>
        </w:tc>
        <w:tc>
          <w:tcPr>
            <w:tcW w:w="112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auto"/>
                <w:sz w:val="24"/>
              </w:rPr>
            </w:pPr>
          </w:p>
        </w:tc>
        <w:tc>
          <w:tcPr>
            <w:tcW w:w="31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auto"/>
                <w:sz w:val="24"/>
              </w:rPr>
            </w:pPr>
          </w:p>
        </w:tc>
      </w:tr>
    </w:tbl>
    <w:p>
      <w:pPr>
        <w:spacing w:line="600" w:lineRule="exact"/>
        <w:jc w:val="center"/>
        <w:rPr>
          <w:rFonts w:ascii="方正小标宋简体" w:eastAsia="方正小标宋简体" w:cs="方正小标宋简体"/>
          <w:color w:val="auto"/>
          <w:sz w:val="36"/>
          <w:szCs w:val="36"/>
        </w:rPr>
      </w:pPr>
      <w:r>
        <w:rPr>
          <w:rFonts w:hint="eastAsia" w:ascii="方正小标宋简体" w:eastAsia="方正小标宋简体" w:cs="方正小标宋简体"/>
          <w:color w:val="auto"/>
          <w:sz w:val="36"/>
          <w:szCs w:val="36"/>
        </w:rPr>
        <w:br w:type="page"/>
      </w:r>
    </w:p>
    <w:p>
      <w:pPr>
        <w:spacing w:line="600" w:lineRule="exact"/>
        <w:jc w:val="center"/>
        <w:rPr>
          <w:rFonts w:ascii="方正小标宋简体" w:eastAsia="方正小标宋简体" w:cs="方正小标宋简体"/>
          <w:color w:val="auto"/>
          <w:sz w:val="44"/>
          <w:szCs w:val="44"/>
        </w:rPr>
      </w:pPr>
      <w:r>
        <w:rPr>
          <w:rFonts w:hint="eastAsia" w:ascii="方正小标宋简体" w:eastAsia="方正小标宋简体" w:cs="方正小标宋简体"/>
          <w:color w:val="auto"/>
          <w:sz w:val="44"/>
          <w:szCs w:val="44"/>
        </w:rPr>
        <w:t>使用说明</w:t>
      </w:r>
    </w:p>
    <w:p>
      <w:pPr>
        <w:spacing w:line="460" w:lineRule="exact"/>
        <w:ind w:firstLine="480" w:firstLineChars="200"/>
        <w:rPr>
          <w:rFonts w:ascii="Times New Roman" w:hAnsi="Times New Roman" w:eastAsia="仿宋_GB2312" w:cs="Times New Roman"/>
          <w:color w:val="auto"/>
          <w:sz w:val="24"/>
          <w:szCs w:val="24"/>
        </w:rPr>
      </w:pPr>
    </w:p>
    <w:p>
      <w:pPr>
        <w:spacing w:line="460" w:lineRule="exact"/>
        <w:ind w:firstLine="480" w:firstLineChars="2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 xml:space="preserve">1. </w:t>
      </w:r>
      <w:r>
        <w:rPr>
          <w:rFonts w:hint="eastAsia" w:ascii="Times New Roman" w:hAnsi="Times New Roman" w:eastAsia="仿宋_GB2312" w:cs="Times New Roman"/>
          <w:color w:val="auto"/>
          <w:sz w:val="24"/>
          <w:szCs w:val="24"/>
        </w:rPr>
        <w:t>本记录表依据《中华人民共和国食品安全法》及其实施条例、《食品生产许可管理办法》等法律法规、规章以及相关食品安全国家标准的要求制定。</w:t>
      </w:r>
    </w:p>
    <w:p>
      <w:pPr>
        <w:spacing w:line="460" w:lineRule="exact"/>
        <w:ind w:firstLine="480" w:firstLineChars="2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 xml:space="preserve">2. </w:t>
      </w:r>
      <w:r>
        <w:rPr>
          <w:rFonts w:hint="eastAsia" w:ascii="Times New Roman" w:hAnsi="Times New Roman" w:eastAsia="仿宋_GB2312" w:cs="Times New Roman"/>
          <w:color w:val="auto"/>
          <w:sz w:val="24"/>
          <w:szCs w:val="24"/>
        </w:rPr>
        <w:t>本记录表应当结合相应食品生产许可审查细则要求使用。</w:t>
      </w:r>
    </w:p>
    <w:p>
      <w:pPr>
        <w:spacing w:line="460" w:lineRule="exact"/>
        <w:ind w:firstLine="480" w:firstLineChars="2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 xml:space="preserve">3. </w:t>
      </w:r>
      <w:r>
        <w:rPr>
          <w:rFonts w:hint="eastAsia" w:ascii="Times New Roman" w:hAnsi="Times New Roman" w:eastAsia="仿宋_GB2312" w:cs="Times New Roman"/>
          <w:color w:val="auto"/>
          <w:sz w:val="24"/>
          <w:szCs w:val="24"/>
        </w:rPr>
        <w:t>本记录表包括生产场所（</w:t>
      </w:r>
      <w:r>
        <w:rPr>
          <w:rFonts w:ascii="Times New Roman" w:hAnsi="Times New Roman" w:eastAsia="仿宋_GB2312" w:cs="Times New Roman"/>
          <w:color w:val="auto"/>
          <w:sz w:val="24"/>
          <w:szCs w:val="24"/>
        </w:rPr>
        <w:t>18</w:t>
      </w:r>
      <w:r>
        <w:rPr>
          <w:rFonts w:hint="eastAsia" w:ascii="Times New Roman" w:hAnsi="Times New Roman" w:eastAsia="仿宋_GB2312" w:cs="Times New Roman"/>
          <w:color w:val="auto"/>
          <w:sz w:val="24"/>
          <w:szCs w:val="24"/>
        </w:rPr>
        <w:t>分）、设备设施（</w:t>
      </w:r>
      <w:r>
        <w:rPr>
          <w:rFonts w:ascii="Times New Roman" w:hAnsi="Times New Roman" w:eastAsia="仿宋_GB2312" w:cs="Times New Roman"/>
          <w:color w:val="auto"/>
          <w:sz w:val="24"/>
          <w:szCs w:val="24"/>
        </w:rPr>
        <w:t>36</w:t>
      </w:r>
      <w:r>
        <w:rPr>
          <w:rFonts w:hint="eastAsia" w:ascii="Times New Roman" w:hAnsi="Times New Roman" w:eastAsia="仿宋_GB2312" w:cs="Times New Roman"/>
          <w:color w:val="auto"/>
          <w:sz w:val="24"/>
          <w:szCs w:val="24"/>
        </w:rPr>
        <w:t>分）、设备布局和工艺流程（</w:t>
      </w:r>
      <w:r>
        <w:rPr>
          <w:rFonts w:ascii="Times New Roman" w:hAnsi="Times New Roman" w:eastAsia="仿宋_GB2312" w:cs="Times New Roman"/>
          <w:color w:val="auto"/>
          <w:sz w:val="24"/>
          <w:szCs w:val="24"/>
        </w:rPr>
        <w:t>9</w:t>
      </w:r>
      <w:r>
        <w:rPr>
          <w:rFonts w:hint="eastAsia" w:ascii="Times New Roman" w:hAnsi="Times New Roman" w:eastAsia="仿宋_GB2312" w:cs="Times New Roman"/>
          <w:color w:val="auto"/>
          <w:sz w:val="24"/>
          <w:szCs w:val="24"/>
        </w:rPr>
        <w:t>分）、人员管理（</w:t>
      </w:r>
      <w:r>
        <w:rPr>
          <w:rFonts w:ascii="Times New Roman" w:hAnsi="Times New Roman" w:eastAsia="仿宋_GB2312" w:cs="Times New Roman"/>
          <w:color w:val="auto"/>
          <w:sz w:val="24"/>
          <w:szCs w:val="24"/>
        </w:rPr>
        <w:t>9</w:t>
      </w:r>
      <w:r>
        <w:rPr>
          <w:rFonts w:hint="eastAsia" w:ascii="Times New Roman" w:hAnsi="Times New Roman" w:eastAsia="仿宋_GB2312" w:cs="Times New Roman"/>
          <w:color w:val="auto"/>
          <w:sz w:val="24"/>
          <w:szCs w:val="24"/>
        </w:rPr>
        <w:t>分）、管理制度（</w:t>
      </w:r>
      <w:r>
        <w:rPr>
          <w:rFonts w:ascii="Times New Roman" w:hAnsi="Times New Roman" w:eastAsia="仿宋_GB2312" w:cs="Times New Roman"/>
          <w:color w:val="auto"/>
          <w:sz w:val="24"/>
          <w:szCs w:val="24"/>
        </w:rPr>
        <w:t>27</w:t>
      </w:r>
      <w:r>
        <w:rPr>
          <w:rFonts w:hint="eastAsia" w:ascii="Times New Roman" w:hAnsi="Times New Roman" w:eastAsia="仿宋_GB2312" w:cs="Times New Roman"/>
          <w:color w:val="auto"/>
          <w:sz w:val="24"/>
          <w:szCs w:val="24"/>
        </w:rPr>
        <w:t>分）以及试制产品检验合格报告（</w:t>
      </w:r>
      <w:r>
        <w:rPr>
          <w:rFonts w:ascii="Times New Roman" w:hAnsi="Times New Roman" w:eastAsia="仿宋_GB2312" w:cs="Times New Roman"/>
          <w:color w:val="auto"/>
          <w:sz w:val="24"/>
          <w:szCs w:val="24"/>
        </w:rPr>
        <w:t>1</w:t>
      </w:r>
      <w:r>
        <w:rPr>
          <w:rFonts w:hint="eastAsia" w:ascii="Times New Roman" w:hAnsi="Times New Roman" w:eastAsia="仿宋_GB2312" w:cs="Times New Roman"/>
          <w:color w:val="auto"/>
          <w:sz w:val="24"/>
          <w:szCs w:val="24"/>
        </w:rPr>
        <w:t>分）六部分，共</w:t>
      </w:r>
      <w:r>
        <w:rPr>
          <w:rFonts w:ascii="Times New Roman" w:hAnsi="Times New Roman" w:eastAsia="仿宋_GB2312" w:cs="Times New Roman"/>
          <w:color w:val="auto"/>
          <w:sz w:val="24"/>
          <w:szCs w:val="24"/>
        </w:rPr>
        <w:t>34</w:t>
      </w:r>
      <w:r>
        <w:rPr>
          <w:rFonts w:hint="eastAsia" w:ascii="Times New Roman" w:hAnsi="Times New Roman" w:eastAsia="仿宋_GB2312" w:cs="Times New Roman"/>
          <w:color w:val="auto"/>
          <w:sz w:val="24"/>
          <w:szCs w:val="24"/>
        </w:rPr>
        <w:t>个核查项目。</w:t>
      </w:r>
    </w:p>
    <w:p>
      <w:pPr>
        <w:spacing w:line="460" w:lineRule="exact"/>
        <w:ind w:firstLine="480" w:firstLineChars="2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 xml:space="preserve">4. </w:t>
      </w:r>
      <w:r>
        <w:rPr>
          <w:rFonts w:hint="eastAsia" w:ascii="Times New Roman" w:hAnsi="Times New Roman" w:eastAsia="仿宋_GB2312" w:cs="Times New Roman"/>
          <w:color w:val="auto"/>
          <w:sz w:val="24"/>
          <w:szCs w:val="24"/>
        </w:rPr>
        <w:t>核查组应当按照核查项目规定的核查内容及评分标准核查评分，并将发现的问题详实地记录在“核查记录”栏目中。</w:t>
      </w:r>
    </w:p>
    <w:p>
      <w:pPr>
        <w:spacing w:line="460" w:lineRule="exact"/>
        <w:ind w:firstLine="480" w:firstLineChars="2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 xml:space="preserve">5. </w:t>
      </w:r>
      <w:r>
        <w:rPr>
          <w:rFonts w:hint="eastAsia" w:ascii="Times New Roman" w:hAnsi="Times New Roman" w:eastAsia="仿宋_GB2312" w:cs="Times New Roman"/>
          <w:color w:val="auto"/>
          <w:sz w:val="24"/>
          <w:szCs w:val="24"/>
        </w:rPr>
        <w:t>现场核查评分原则：现场核查评分标准分为符合要求、基本符合要求、不符合要求。符合要求，是指现场核查情况全部符合“核查内容”要求，得</w:t>
      </w:r>
      <w:r>
        <w:rPr>
          <w:rFonts w:ascii="Times New Roman" w:hAnsi="Times New Roman" w:eastAsia="仿宋_GB2312" w:cs="Times New Roman"/>
          <w:color w:val="auto"/>
          <w:sz w:val="24"/>
          <w:szCs w:val="24"/>
        </w:rPr>
        <w:t>3</w:t>
      </w:r>
      <w:r>
        <w:rPr>
          <w:rFonts w:hint="eastAsia" w:ascii="Times New Roman" w:hAnsi="Times New Roman" w:eastAsia="仿宋_GB2312" w:cs="Times New Roman"/>
          <w:color w:val="auto"/>
          <w:sz w:val="24"/>
          <w:szCs w:val="24"/>
        </w:rPr>
        <w:t>分；基本符合要求，是指现场核查发现的问题属于个别、轻微或偶然发生，不会对食品安全产生严重影响，可在规定时限内通过整改达到食品安全要求的，得</w:t>
      </w:r>
      <w:r>
        <w:rPr>
          <w:rFonts w:ascii="Times New Roman" w:hAnsi="Times New Roman" w:eastAsia="仿宋_GB2312" w:cs="Times New Roman"/>
          <w:color w:val="auto"/>
          <w:sz w:val="24"/>
          <w:szCs w:val="24"/>
        </w:rPr>
        <w:t>1</w:t>
      </w:r>
      <w:r>
        <w:rPr>
          <w:rFonts w:hint="eastAsia" w:ascii="Times New Roman" w:hAnsi="Times New Roman" w:eastAsia="仿宋_GB2312" w:cs="Times New Roman"/>
          <w:color w:val="auto"/>
          <w:sz w:val="24"/>
          <w:szCs w:val="24"/>
        </w:rPr>
        <w:t>分；不符合要求，是指现场核查发现的问题属于普遍、严重、系统性或区域性缺陷，可能影响食品安全的，得</w:t>
      </w:r>
      <w:r>
        <w:rPr>
          <w:rFonts w:ascii="Times New Roman" w:hAnsi="Times New Roman" w:eastAsia="仿宋_GB2312" w:cs="Times New Roman"/>
          <w:color w:val="auto"/>
          <w:sz w:val="24"/>
          <w:szCs w:val="24"/>
        </w:rPr>
        <w:t>0</w:t>
      </w:r>
      <w:r>
        <w:rPr>
          <w:rFonts w:hint="eastAsia" w:ascii="Times New Roman" w:hAnsi="Times New Roman" w:eastAsia="仿宋_GB2312" w:cs="Times New Roman"/>
          <w:color w:val="auto"/>
          <w:sz w:val="24"/>
          <w:szCs w:val="24"/>
        </w:rPr>
        <w:t>分。</w:t>
      </w:r>
    </w:p>
    <w:p>
      <w:pPr>
        <w:spacing w:line="460" w:lineRule="exact"/>
        <w:ind w:firstLine="480" w:firstLineChars="200"/>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试制产品检验报告核查判定得分为</w:t>
      </w:r>
      <w:r>
        <w:rPr>
          <w:rFonts w:ascii="Times New Roman" w:hAnsi="Times New Roman" w:eastAsia="仿宋_GB2312" w:cs="Times New Roman"/>
          <w:color w:val="auto"/>
          <w:sz w:val="24"/>
          <w:szCs w:val="24"/>
        </w:rPr>
        <w:t>1</w:t>
      </w:r>
      <w:r>
        <w:rPr>
          <w:rFonts w:hint="eastAsia" w:ascii="Times New Roman" w:hAnsi="Times New Roman" w:eastAsia="仿宋_GB2312" w:cs="Times New Roman"/>
          <w:color w:val="auto"/>
          <w:sz w:val="24"/>
          <w:szCs w:val="24"/>
        </w:rPr>
        <w:t>分、</w:t>
      </w:r>
      <w:r>
        <w:rPr>
          <w:rFonts w:ascii="Times New Roman" w:hAnsi="Times New Roman" w:eastAsia="仿宋_GB2312" w:cs="Times New Roman"/>
          <w:color w:val="auto"/>
          <w:sz w:val="24"/>
          <w:szCs w:val="24"/>
        </w:rPr>
        <w:t>0.5</w:t>
      </w:r>
      <w:r>
        <w:rPr>
          <w:rFonts w:hint="eastAsia" w:ascii="Times New Roman" w:hAnsi="Times New Roman" w:eastAsia="仿宋_GB2312" w:cs="Times New Roman"/>
          <w:color w:val="auto"/>
          <w:sz w:val="24"/>
          <w:szCs w:val="24"/>
        </w:rPr>
        <w:t>分和</w:t>
      </w:r>
      <w:r>
        <w:rPr>
          <w:rFonts w:ascii="Times New Roman" w:hAnsi="Times New Roman" w:eastAsia="仿宋_GB2312" w:cs="Times New Roman"/>
          <w:color w:val="auto"/>
          <w:sz w:val="24"/>
          <w:szCs w:val="24"/>
        </w:rPr>
        <w:t>0</w:t>
      </w:r>
      <w:r>
        <w:rPr>
          <w:rFonts w:hint="eastAsia" w:ascii="Times New Roman" w:hAnsi="Times New Roman" w:eastAsia="仿宋_GB2312" w:cs="Times New Roman"/>
          <w:color w:val="auto"/>
          <w:sz w:val="24"/>
          <w:szCs w:val="24"/>
        </w:rPr>
        <w:t>分。</w:t>
      </w:r>
    </w:p>
    <w:p>
      <w:pPr>
        <w:spacing w:line="460" w:lineRule="exact"/>
        <w:ind w:firstLine="480" w:firstLineChars="2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 xml:space="preserve">6. </w:t>
      </w:r>
      <w:r>
        <w:rPr>
          <w:rFonts w:hint="eastAsia" w:ascii="Times New Roman" w:hAnsi="Times New Roman" w:eastAsia="仿宋_GB2312" w:cs="Times New Roman"/>
          <w:color w:val="auto"/>
          <w:sz w:val="24"/>
          <w:szCs w:val="24"/>
        </w:rPr>
        <w:t>现场核查结论判定原则：核查项目单项得分无</w:t>
      </w:r>
      <w:r>
        <w:rPr>
          <w:rFonts w:ascii="Times New Roman" w:hAnsi="Times New Roman" w:eastAsia="仿宋_GB2312" w:cs="Times New Roman"/>
          <w:color w:val="auto"/>
          <w:sz w:val="24"/>
          <w:szCs w:val="24"/>
        </w:rPr>
        <w:t>0</w:t>
      </w:r>
      <w:r>
        <w:rPr>
          <w:rFonts w:hint="eastAsia" w:ascii="Times New Roman" w:hAnsi="Times New Roman" w:eastAsia="仿宋_GB2312" w:cs="Times New Roman"/>
          <w:color w:val="auto"/>
          <w:sz w:val="24"/>
          <w:szCs w:val="24"/>
        </w:rPr>
        <w:t>分且总得分率≥</w:t>
      </w:r>
      <w:r>
        <w:rPr>
          <w:rFonts w:ascii="Times New Roman" w:hAnsi="Times New Roman" w:eastAsia="仿宋_GB2312" w:cs="Times New Roman"/>
          <w:color w:val="auto"/>
          <w:sz w:val="24"/>
          <w:szCs w:val="24"/>
        </w:rPr>
        <w:t>85%</w:t>
      </w:r>
      <w:r>
        <w:rPr>
          <w:rFonts w:hint="eastAsia" w:ascii="Times New Roman" w:hAnsi="Times New Roman" w:eastAsia="仿宋_GB2312" w:cs="Times New Roman"/>
          <w:color w:val="auto"/>
          <w:sz w:val="24"/>
          <w:szCs w:val="24"/>
        </w:rPr>
        <w:t>的，该类别名称及品种明细判定为通过现场核查。</w:t>
      </w:r>
    </w:p>
    <w:p>
      <w:pPr>
        <w:spacing w:line="460" w:lineRule="exact"/>
        <w:ind w:firstLine="480" w:firstLineChars="200"/>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当出现以下两种情况之一时，该类别名称及品种明细判定为未通过现场核查：</w:t>
      </w:r>
    </w:p>
    <w:p>
      <w:pPr>
        <w:spacing w:line="460" w:lineRule="exact"/>
        <w:ind w:firstLine="480" w:firstLineChars="200"/>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w:t>
      </w:r>
      <w:r>
        <w:rPr>
          <w:rFonts w:ascii="Times New Roman" w:hAnsi="Times New Roman" w:eastAsia="仿宋_GB2312" w:cs="Times New Roman"/>
          <w:color w:val="auto"/>
          <w:sz w:val="24"/>
          <w:szCs w:val="24"/>
        </w:rPr>
        <w:t>1</w:t>
      </w:r>
      <w:r>
        <w:rPr>
          <w:rFonts w:hint="eastAsia" w:ascii="Times New Roman" w:hAnsi="Times New Roman" w:eastAsia="仿宋_GB2312" w:cs="Times New Roman"/>
          <w:color w:val="auto"/>
          <w:sz w:val="24"/>
          <w:szCs w:val="24"/>
        </w:rPr>
        <w:t>）有一项及以上核查项目得</w:t>
      </w:r>
      <w:r>
        <w:rPr>
          <w:rFonts w:ascii="Times New Roman" w:hAnsi="Times New Roman" w:eastAsia="仿宋_GB2312" w:cs="Times New Roman"/>
          <w:color w:val="auto"/>
          <w:sz w:val="24"/>
          <w:szCs w:val="24"/>
        </w:rPr>
        <w:t>0</w:t>
      </w:r>
      <w:r>
        <w:rPr>
          <w:rFonts w:hint="eastAsia" w:ascii="Times New Roman" w:hAnsi="Times New Roman" w:eastAsia="仿宋_GB2312" w:cs="Times New Roman"/>
          <w:color w:val="auto"/>
          <w:sz w:val="24"/>
          <w:szCs w:val="24"/>
        </w:rPr>
        <w:t>分的；</w:t>
      </w:r>
    </w:p>
    <w:p>
      <w:pPr>
        <w:spacing w:line="460" w:lineRule="exact"/>
        <w:ind w:firstLine="480" w:firstLineChars="200"/>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w:t>
      </w:r>
      <w:r>
        <w:rPr>
          <w:rFonts w:ascii="Times New Roman" w:hAnsi="Times New Roman" w:eastAsia="仿宋_GB2312" w:cs="Times New Roman"/>
          <w:color w:val="auto"/>
          <w:sz w:val="24"/>
          <w:szCs w:val="24"/>
        </w:rPr>
        <w:t>2</w:t>
      </w:r>
      <w:r>
        <w:rPr>
          <w:rFonts w:hint="eastAsia" w:ascii="Times New Roman" w:hAnsi="Times New Roman" w:eastAsia="仿宋_GB2312" w:cs="Times New Roman"/>
          <w:color w:val="auto"/>
          <w:sz w:val="24"/>
          <w:szCs w:val="24"/>
        </w:rPr>
        <w:t>）核查项目总得分率＜</w:t>
      </w:r>
      <w:r>
        <w:rPr>
          <w:rFonts w:ascii="Times New Roman" w:hAnsi="Times New Roman" w:eastAsia="仿宋_GB2312" w:cs="Times New Roman"/>
          <w:color w:val="auto"/>
          <w:sz w:val="24"/>
          <w:szCs w:val="24"/>
        </w:rPr>
        <w:t>85%</w:t>
      </w:r>
      <w:r>
        <w:rPr>
          <w:rFonts w:hint="eastAsia" w:ascii="Times New Roman" w:hAnsi="Times New Roman" w:eastAsia="仿宋_GB2312" w:cs="Times New Roman"/>
          <w:color w:val="auto"/>
          <w:sz w:val="24"/>
          <w:szCs w:val="24"/>
        </w:rPr>
        <w:t>的。</w:t>
      </w:r>
    </w:p>
    <w:p>
      <w:pPr>
        <w:spacing w:line="460" w:lineRule="exact"/>
        <w:ind w:firstLine="480" w:firstLineChars="2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 xml:space="preserve">7. </w:t>
      </w:r>
      <w:r>
        <w:rPr>
          <w:rFonts w:hint="eastAsia" w:ascii="Times New Roman" w:hAnsi="Times New Roman" w:eastAsia="仿宋_GB2312" w:cs="Times New Roman"/>
          <w:color w:val="auto"/>
          <w:sz w:val="24"/>
          <w:szCs w:val="24"/>
        </w:rPr>
        <w:t>某个核查项目不适用时，不参与评分，并在“核查记录”栏目中说明不适用的原因。</w:t>
      </w:r>
    </w:p>
    <w:p>
      <w:pPr>
        <w:spacing w:before="240" w:beforeLines="100" w:after="120" w:afterLines="50" w:line="400" w:lineRule="exact"/>
        <w:ind w:firstLine="480" w:firstLineChars="200"/>
        <w:jc w:val="center"/>
        <w:outlineLvl w:val="0"/>
        <w:rPr>
          <w:rFonts w:eastAsia="黑体"/>
          <w:color w:val="auto"/>
          <w:sz w:val="32"/>
          <w:szCs w:val="32"/>
        </w:rPr>
      </w:pPr>
      <w:r>
        <w:rPr>
          <w:rFonts w:hint="eastAsia" w:ascii="方正仿宋简体" w:hAnsi="宋体" w:eastAsia="方正仿宋简体"/>
          <w:color w:val="auto"/>
          <w:sz w:val="24"/>
        </w:rPr>
        <w:br w:type="page"/>
      </w:r>
      <w:r>
        <w:rPr>
          <w:rFonts w:hint="eastAsia" w:eastAsia="黑体"/>
          <w:color w:val="auto"/>
          <w:sz w:val="32"/>
          <w:szCs w:val="32"/>
        </w:rPr>
        <w:t>一、生产场所（共</w:t>
      </w:r>
      <w:r>
        <w:rPr>
          <w:rFonts w:eastAsia="黑体"/>
          <w:color w:val="auto"/>
          <w:sz w:val="32"/>
          <w:szCs w:val="32"/>
        </w:rPr>
        <w:t>18</w:t>
      </w:r>
      <w:r>
        <w:rPr>
          <w:rFonts w:hint="eastAsia" w:eastAsia="黑体"/>
          <w:color w:val="auto"/>
          <w:sz w:val="32"/>
          <w:szCs w:val="32"/>
        </w:rPr>
        <w:t>分）</w:t>
      </w:r>
    </w:p>
    <w:tbl>
      <w:tblPr>
        <w:tblStyle w:val="13"/>
        <w:tblW w:w="13482" w:type="dxa"/>
        <w:tblInd w:w="93" w:type="dxa"/>
        <w:tblLayout w:type="autofit"/>
        <w:tblCellMar>
          <w:top w:w="0" w:type="dxa"/>
          <w:left w:w="108" w:type="dxa"/>
          <w:bottom w:w="0" w:type="dxa"/>
          <w:right w:w="108" w:type="dxa"/>
        </w:tblCellMar>
      </w:tblPr>
      <w:tblGrid>
        <w:gridCol w:w="724"/>
        <w:gridCol w:w="1418"/>
        <w:gridCol w:w="3969"/>
        <w:gridCol w:w="2976"/>
        <w:gridCol w:w="426"/>
        <w:gridCol w:w="1275"/>
        <w:gridCol w:w="2694"/>
      </w:tblGrid>
      <w:tr>
        <w:tblPrEx>
          <w:tblCellMar>
            <w:top w:w="0" w:type="dxa"/>
            <w:left w:w="108" w:type="dxa"/>
            <w:bottom w:w="0" w:type="dxa"/>
            <w:right w:w="108" w:type="dxa"/>
          </w:tblCellMar>
        </w:tblPrEx>
        <w:trPr>
          <w:cantSplit/>
          <w:trHeight w:val="20" w:hRule="atLeast"/>
          <w:tblHeader/>
        </w:trPr>
        <w:tc>
          <w:tcPr>
            <w:tcW w:w="7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黑体" w:cs="Times New Roman"/>
                <w:bCs/>
                <w:color w:val="auto"/>
                <w:kern w:val="0"/>
                <w:sz w:val="24"/>
              </w:rPr>
            </w:pPr>
            <w:r>
              <w:rPr>
                <w:rFonts w:hint="eastAsia" w:ascii="Times New Roman" w:hAnsi="Times New Roman" w:eastAsia="黑体" w:cs="Times New Roman"/>
                <w:bCs/>
                <w:color w:val="auto"/>
                <w:kern w:val="0"/>
                <w:sz w:val="24"/>
              </w:rPr>
              <w:t>序号</w:t>
            </w:r>
          </w:p>
        </w:tc>
        <w:tc>
          <w:tcPr>
            <w:tcW w:w="141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黑体" w:cs="Times New Roman"/>
                <w:bCs/>
                <w:color w:val="auto"/>
                <w:kern w:val="0"/>
                <w:sz w:val="24"/>
              </w:rPr>
            </w:pPr>
            <w:r>
              <w:rPr>
                <w:rFonts w:hint="eastAsia" w:ascii="Times New Roman" w:hAnsi="Times New Roman" w:eastAsia="黑体" w:cs="Times New Roman"/>
                <w:bCs/>
                <w:color w:val="auto"/>
                <w:kern w:val="0"/>
                <w:sz w:val="24"/>
              </w:rPr>
              <w:t>核查项目</w:t>
            </w:r>
          </w:p>
        </w:tc>
        <w:tc>
          <w:tcPr>
            <w:tcW w:w="396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黑体" w:cs="Times New Roman"/>
                <w:bCs/>
                <w:color w:val="auto"/>
                <w:kern w:val="0"/>
                <w:sz w:val="24"/>
              </w:rPr>
            </w:pPr>
            <w:r>
              <w:rPr>
                <w:rFonts w:hint="eastAsia" w:ascii="Times New Roman" w:hAnsi="Times New Roman" w:eastAsia="黑体" w:cs="Times New Roman"/>
                <w:bCs/>
                <w:color w:val="auto"/>
                <w:kern w:val="0"/>
                <w:sz w:val="24"/>
              </w:rPr>
              <w:t>核查内容</w:t>
            </w:r>
          </w:p>
        </w:tc>
        <w:tc>
          <w:tcPr>
            <w:tcW w:w="3402"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黑体" w:cs="Times New Roman"/>
                <w:bCs/>
                <w:color w:val="auto"/>
                <w:kern w:val="0"/>
                <w:sz w:val="24"/>
              </w:rPr>
            </w:pPr>
            <w:r>
              <w:rPr>
                <w:rFonts w:hint="eastAsia" w:ascii="Times New Roman" w:hAnsi="Times New Roman" w:eastAsia="黑体" w:cs="Times New Roman"/>
                <w:bCs/>
                <w:color w:val="auto"/>
                <w:kern w:val="0"/>
                <w:sz w:val="24"/>
              </w:rPr>
              <w:t>评分标准</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黑体" w:cs="Times New Roman"/>
                <w:bCs/>
                <w:color w:val="auto"/>
                <w:kern w:val="0"/>
                <w:sz w:val="24"/>
              </w:rPr>
            </w:pPr>
            <w:r>
              <w:rPr>
                <w:rFonts w:hint="eastAsia" w:ascii="Times New Roman" w:hAnsi="Times New Roman" w:eastAsia="黑体" w:cs="Times New Roman"/>
                <w:bCs/>
                <w:color w:val="auto"/>
                <w:kern w:val="0"/>
                <w:sz w:val="24"/>
              </w:rPr>
              <w:t>核查得分</w:t>
            </w:r>
          </w:p>
        </w:tc>
        <w:tc>
          <w:tcPr>
            <w:tcW w:w="2694"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黑体" w:cs="Times New Roman"/>
                <w:bCs/>
                <w:color w:val="auto"/>
                <w:kern w:val="0"/>
                <w:sz w:val="24"/>
              </w:rPr>
            </w:pPr>
            <w:r>
              <w:rPr>
                <w:rFonts w:hint="eastAsia" w:ascii="Times New Roman" w:hAnsi="Times New Roman" w:eastAsia="黑体" w:cs="Times New Roman"/>
                <w:bCs/>
                <w:color w:val="auto"/>
                <w:kern w:val="0"/>
                <w:sz w:val="24"/>
              </w:rPr>
              <w:t>核查记录</w:t>
            </w:r>
          </w:p>
        </w:tc>
      </w:tr>
      <w:tr>
        <w:tblPrEx>
          <w:tblCellMar>
            <w:top w:w="0" w:type="dxa"/>
            <w:left w:w="108" w:type="dxa"/>
            <w:bottom w:w="0" w:type="dxa"/>
            <w:right w:w="108" w:type="dxa"/>
          </w:tblCellMar>
        </w:tblPrEx>
        <w:trPr>
          <w:cantSplit/>
          <w:trHeight w:val="448" w:hRule="atLeast"/>
        </w:trPr>
        <w:tc>
          <w:tcPr>
            <w:tcW w:w="724"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1.1</w:t>
            </w:r>
          </w:p>
        </w:tc>
        <w:tc>
          <w:tcPr>
            <w:tcW w:w="1418"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厂区要求</w:t>
            </w:r>
          </w:p>
        </w:tc>
        <w:tc>
          <w:tcPr>
            <w:tcW w:w="3969" w:type="dxa"/>
            <w:vMerge w:val="restart"/>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1.</w:t>
            </w:r>
            <w:r>
              <w:rPr>
                <w:rFonts w:ascii="Times New Roman" w:hAnsi="Times New Roman" w:cs="Times New Roman"/>
                <w:color w:val="auto"/>
              </w:rPr>
              <w:t xml:space="preserve"> </w:t>
            </w:r>
            <w:r>
              <w:rPr>
                <w:rFonts w:hint="eastAsia" w:ascii="Times New Roman" w:hAnsi="Times New Roman" w:eastAsia="仿宋_GB2312" w:cs="Times New Roman"/>
                <w:color w:val="auto"/>
                <w:kern w:val="0"/>
                <w:sz w:val="24"/>
              </w:rPr>
              <w:t>厂区不应选择对食品有显著污染的区域。厂区周围无虫害大量孳生的潜在场所，无有害废弃物以及粉尘、有害气体、放射性物质和其他扩散性污染源。各类污染源难以避开时应当有必要的防范措施，能有效清除污染源造成的影响。现场</w:t>
            </w:r>
            <w:r>
              <w:rPr>
                <w:rFonts w:ascii="Times New Roman" w:hAnsi="Times New Roman" w:eastAsia="仿宋_GB2312" w:cs="Times New Roman"/>
                <w:color w:val="auto"/>
                <w:kern w:val="0"/>
                <w:sz w:val="24"/>
              </w:rPr>
              <w:t>提</w:t>
            </w:r>
            <w:r>
              <w:rPr>
                <w:rFonts w:hint="eastAsia" w:ascii="Times New Roman" w:hAnsi="Times New Roman" w:eastAsia="仿宋_GB2312" w:cs="Times New Roman"/>
                <w:color w:val="auto"/>
                <w:kern w:val="0"/>
                <w:sz w:val="24"/>
              </w:rPr>
              <w:t>供</w:t>
            </w:r>
            <w:r>
              <w:rPr>
                <w:rFonts w:ascii="Times New Roman" w:hAnsi="Times New Roman" w:eastAsia="仿宋_GB2312" w:cs="Times New Roman"/>
                <w:color w:val="auto"/>
                <w:kern w:val="0"/>
                <w:sz w:val="24"/>
              </w:rPr>
              <w:t>的</w:t>
            </w:r>
            <w:r>
              <w:rPr>
                <w:rFonts w:hint="eastAsia" w:ascii="Times New Roman" w:hAnsi="Times New Roman" w:eastAsia="仿宋_GB2312" w:cs="Times New Roman"/>
                <w:color w:val="auto"/>
                <w:kern w:val="0"/>
                <w:sz w:val="24"/>
              </w:rPr>
              <w:t>《食品</w:t>
            </w:r>
            <w:r>
              <w:rPr>
                <w:rFonts w:ascii="Times New Roman" w:hAnsi="Times New Roman" w:eastAsia="仿宋_GB2312" w:cs="Times New Roman"/>
                <w:color w:val="auto"/>
                <w:kern w:val="0"/>
                <w:sz w:val="24"/>
              </w:rPr>
              <w:t>生产加工场所</w:t>
            </w:r>
            <w:r>
              <w:rPr>
                <w:rFonts w:hint="eastAsia" w:ascii="Times New Roman" w:hAnsi="Times New Roman" w:eastAsia="仿宋_GB2312" w:cs="Times New Roman"/>
                <w:color w:val="auto"/>
                <w:kern w:val="0"/>
                <w:sz w:val="24"/>
              </w:rPr>
              <w:t>周围</w:t>
            </w:r>
            <w:r>
              <w:rPr>
                <w:rFonts w:ascii="Times New Roman" w:hAnsi="Times New Roman" w:eastAsia="仿宋_GB2312" w:cs="Times New Roman"/>
                <w:color w:val="auto"/>
                <w:kern w:val="0"/>
                <w:sz w:val="24"/>
              </w:rPr>
              <w:t>环境平面图</w:t>
            </w:r>
            <w:r>
              <w:rPr>
                <w:rFonts w:hint="eastAsia" w:ascii="Times New Roman" w:hAnsi="Times New Roman" w:eastAsia="仿宋_GB2312" w:cs="Times New Roman"/>
                <w:color w:val="auto"/>
                <w:kern w:val="0"/>
                <w:sz w:val="24"/>
              </w:rPr>
              <w:t>》</w:t>
            </w:r>
            <w:r>
              <w:rPr>
                <w:rFonts w:ascii="Times New Roman" w:hAnsi="Times New Roman" w:eastAsia="仿宋_GB2312" w:cs="Times New Roman"/>
                <w:color w:val="auto"/>
                <w:kern w:val="0"/>
                <w:sz w:val="24"/>
              </w:rPr>
              <w:t>与实际一致。</w:t>
            </w:r>
          </w:p>
        </w:tc>
        <w:tc>
          <w:tcPr>
            <w:tcW w:w="2976" w:type="dxa"/>
            <w:tcBorders>
              <w:top w:val="nil"/>
              <w:left w:val="nil"/>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符合规定要求。</w:t>
            </w:r>
          </w:p>
        </w:tc>
        <w:tc>
          <w:tcPr>
            <w:tcW w:w="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3</w:t>
            </w:r>
          </w:p>
        </w:tc>
        <w:tc>
          <w:tcPr>
            <w:tcW w:w="1275" w:type="dxa"/>
            <w:vMerge w:val="restart"/>
            <w:tcBorders>
              <w:top w:val="nil"/>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　</w:t>
            </w:r>
          </w:p>
        </w:tc>
        <w:tc>
          <w:tcPr>
            <w:tcW w:w="2694" w:type="dxa"/>
            <w:vMerge w:val="restart"/>
            <w:tcBorders>
              <w:top w:val="nil"/>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bookmarkStart w:id="3" w:name="_GoBack"/>
            <w:bookmarkEnd w:id="3"/>
          </w:p>
        </w:tc>
      </w:tr>
      <w:tr>
        <w:tblPrEx>
          <w:tblCellMar>
            <w:top w:w="0" w:type="dxa"/>
            <w:left w:w="108" w:type="dxa"/>
            <w:bottom w:w="0" w:type="dxa"/>
            <w:right w:w="108" w:type="dxa"/>
          </w:tblCellMar>
        </w:tblPrEx>
        <w:trPr>
          <w:cantSplit/>
          <w:trHeight w:val="1405"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976" w:type="dxa"/>
            <w:tcBorders>
              <w:top w:val="nil"/>
              <w:left w:val="nil"/>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有污染源防范措施，效果不明显，可通过改善防范措施有效清除污染源造成的影响。现场提供的</w:t>
            </w:r>
            <w:r>
              <w:rPr>
                <w:rFonts w:ascii="Times New Roman" w:hAnsi="Times New Roman" w:eastAsia="仿宋_GB2312" w:cs="Times New Roman"/>
                <w:color w:val="auto"/>
                <w:kern w:val="0"/>
                <w:sz w:val="24"/>
              </w:rPr>
              <w:t>平面图与实际不一致。</w:t>
            </w:r>
          </w:p>
        </w:tc>
        <w:tc>
          <w:tcPr>
            <w:tcW w:w="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1</w:t>
            </w: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r>
      <w:tr>
        <w:tblPrEx>
          <w:tblCellMar>
            <w:top w:w="0" w:type="dxa"/>
            <w:left w:w="108" w:type="dxa"/>
            <w:bottom w:w="0" w:type="dxa"/>
            <w:right w:w="108" w:type="dxa"/>
          </w:tblCellMar>
        </w:tblPrEx>
        <w:trPr>
          <w:cantSplit/>
          <w:trHeight w:val="842"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976" w:type="dxa"/>
            <w:tcBorders>
              <w:top w:val="nil"/>
              <w:left w:val="nil"/>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无污染源防范措施，或者污染源防范措施无效果。</w:t>
            </w:r>
          </w:p>
        </w:tc>
        <w:tc>
          <w:tcPr>
            <w:tcW w:w="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0</w:t>
            </w: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r>
      <w:tr>
        <w:tblPrEx>
          <w:tblCellMar>
            <w:top w:w="0" w:type="dxa"/>
            <w:left w:w="108" w:type="dxa"/>
            <w:bottom w:w="0" w:type="dxa"/>
            <w:right w:w="108" w:type="dxa"/>
          </w:tblCellMar>
        </w:tblPrEx>
        <w:trPr>
          <w:cantSplit/>
          <w:trHeight w:val="547"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3969" w:type="dxa"/>
            <w:vMerge w:val="restart"/>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2.</w:t>
            </w:r>
            <w:r>
              <w:rPr>
                <w:rFonts w:ascii="Times New Roman" w:hAnsi="Times New Roman" w:cs="Times New Roman"/>
                <w:color w:val="auto"/>
              </w:rPr>
              <w:t xml:space="preserve"> </w:t>
            </w:r>
            <w:r>
              <w:rPr>
                <w:rFonts w:hint="eastAsia" w:ascii="Times New Roman" w:hAnsi="Times New Roman" w:eastAsia="仿宋_GB2312" w:cs="Times New Roman"/>
                <w:color w:val="auto"/>
                <w:kern w:val="0"/>
                <w:sz w:val="24"/>
              </w:rPr>
              <w:t>厂区环境整洁，无扬尘或积水现象。各功能区划分明显，布局合理。现场</w:t>
            </w:r>
            <w:r>
              <w:rPr>
                <w:rFonts w:ascii="Times New Roman" w:hAnsi="Times New Roman" w:eastAsia="仿宋_GB2312" w:cs="Times New Roman"/>
                <w:color w:val="auto"/>
                <w:kern w:val="0"/>
                <w:sz w:val="24"/>
              </w:rPr>
              <w:t>提供的《</w:t>
            </w:r>
            <w:r>
              <w:rPr>
                <w:rFonts w:hint="eastAsia" w:ascii="Times New Roman" w:hAnsi="Times New Roman" w:eastAsia="仿宋_GB2312" w:cs="Times New Roman"/>
                <w:color w:val="auto"/>
                <w:kern w:val="0"/>
                <w:sz w:val="24"/>
              </w:rPr>
              <w:t>食品</w:t>
            </w:r>
            <w:r>
              <w:rPr>
                <w:rFonts w:ascii="Times New Roman" w:hAnsi="Times New Roman" w:eastAsia="仿宋_GB2312" w:cs="Times New Roman"/>
                <w:color w:val="auto"/>
                <w:kern w:val="0"/>
                <w:sz w:val="24"/>
              </w:rPr>
              <w:t>生产加工场所平面图》与实际一致。</w:t>
            </w:r>
            <w:r>
              <w:rPr>
                <w:rFonts w:hint="eastAsia" w:ascii="Times New Roman" w:hAnsi="Times New Roman" w:eastAsia="仿宋_GB2312" w:cs="Times New Roman"/>
                <w:color w:val="auto"/>
                <w:kern w:val="0"/>
                <w:sz w:val="24"/>
              </w:rPr>
              <w:t>生活区与生产区保持适当距离或分隔，防止交叉污染。厂区道路应当采用硬质材料铺设。厂区绿化应当与生产车间保持适当距离，植被应当定期维护，防止虫害孳生。</w:t>
            </w:r>
          </w:p>
        </w:tc>
        <w:tc>
          <w:tcPr>
            <w:tcW w:w="2976" w:type="dxa"/>
            <w:tcBorders>
              <w:top w:val="nil"/>
              <w:left w:val="nil"/>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符合规定要求。</w:t>
            </w:r>
          </w:p>
        </w:tc>
        <w:tc>
          <w:tcPr>
            <w:tcW w:w="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3</w:t>
            </w:r>
          </w:p>
        </w:tc>
        <w:tc>
          <w:tcPr>
            <w:tcW w:w="1275" w:type="dxa"/>
            <w:vMerge w:val="restart"/>
            <w:tcBorders>
              <w:top w:val="nil"/>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　</w:t>
            </w:r>
          </w:p>
        </w:tc>
        <w:tc>
          <w:tcPr>
            <w:tcW w:w="2694" w:type="dxa"/>
            <w:vMerge w:val="restart"/>
            <w:tcBorders>
              <w:top w:val="nil"/>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p>
        </w:tc>
      </w:tr>
      <w:tr>
        <w:tblPrEx>
          <w:tblCellMar>
            <w:top w:w="0" w:type="dxa"/>
            <w:left w:w="108" w:type="dxa"/>
            <w:bottom w:w="0" w:type="dxa"/>
            <w:right w:w="108" w:type="dxa"/>
          </w:tblCellMar>
        </w:tblPrEx>
        <w:trPr>
          <w:cantSplit/>
          <w:trHeight w:val="106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976" w:type="dxa"/>
            <w:tcBorders>
              <w:top w:val="nil"/>
              <w:left w:val="nil"/>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厂区环境、布局、功能区划分、绿化带位置及维护等略有不足。现场提供的</w:t>
            </w:r>
            <w:r>
              <w:rPr>
                <w:rFonts w:ascii="Times New Roman" w:hAnsi="Times New Roman" w:eastAsia="仿宋_GB2312" w:cs="Times New Roman"/>
                <w:color w:val="auto"/>
                <w:kern w:val="0"/>
                <w:sz w:val="24"/>
              </w:rPr>
              <w:t>平面图与实际不一致。</w:t>
            </w:r>
          </w:p>
        </w:tc>
        <w:tc>
          <w:tcPr>
            <w:tcW w:w="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1</w:t>
            </w: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r>
      <w:tr>
        <w:tblPrEx>
          <w:tblCellMar>
            <w:top w:w="0" w:type="dxa"/>
            <w:left w:w="108" w:type="dxa"/>
            <w:bottom w:w="0" w:type="dxa"/>
            <w:right w:w="108" w:type="dxa"/>
          </w:tblCellMar>
        </w:tblPrEx>
        <w:trPr>
          <w:cantSplit/>
          <w:trHeight w:val="1398"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976" w:type="dxa"/>
            <w:tcBorders>
              <w:top w:val="nil"/>
              <w:left w:val="nil"/>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厂区环境不整洁；厂区布局不合理，或者生活区与生产区未保持适当距离或分隔，并存在交叉污染。</w:t>
            </w:r>
          </w:p>
        </w:tc>
        <w:tc>
          <w:tcPr>
            <w:tcW w:w="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0</w:t>
            </w: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r>
      <w:tr>
        <w:tblPrEx>
          <w:tblCellMar>
            <w:top w:w="0" w:type="dxa"/>
            <w:left w:w="108" w:type="dxa"/>
            <w:bottom w:w="0" w:type="dxa"/>
            <w:right w:w="108" w:type="dxa"/>
          </w:tblCellMar>
        </w:tblPrEx>
        <w:trPr>
          <w:cantSplit/>
          <w:trHeight w:val="439" w:hRule="atLeast"/>
        </w:trPr>
        <w:tc>
          <w:tcPr>
            <w:tcW w:w="724"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1.2</w:t>
            </w:r>
          </w:p>
        </w:tc>
        <w:tc>
          <w:tcPr>
            <w:tcW w:w="1418"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厂房和车间</w:t>
            </w:r>
          </w:p>
        </w:tc>
        <w:tc>
          <w:tcPr>
            <w:tcW w:w="3969" w:type="dxa"/>
            <w:vMerge w:val="restart"/>
            <w:tcBorders>
              <w:top w:val="nil"/>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1.</w:t>
            </w:r>
            <w:r>
              <w:rPr>
                <w:rFonts w:ascii="Times New Roman" w:hAnsi="Times New Roman" w:cs="Times New Roman"/>
                <w:color w:val="auto"/>
              </w:rPr>
              <w:t xml:space="preserve"> </w:t>
            </w:r>
            <w:r>
              <w:rPr>
                <w:rFonts w:hint="eastAsia" w:ascii="Times New Roman" w:hAnsi="Times New Roman" w:eastAsia="仿宋_GB2312" w:cs="Times New Roman"/>
                <w:color w:val="auto"/>
                <w:kern w:val="0"/>
                <w:sz w:val="24"/>
              </w:rPr>
              <w:t>应当具有与生产的产品品种、数量相适应的厂房和车间，并根据生产工艺及清洁程度的要求合理布局和划分作业区，避免交叉污染；厂房内设置的检验室应当与生产区域分隔。现场</w:t>
            </w:r>
            <w:r>
              <w:rPr>
                <w:rFonts w:ascii="Times New Roman" w:hAnsi="Times New Roman" w:eastAsia="仿宋_GB2312" w:cs="Times New Roman"/>
                <w:color w:val="auto"/>
                <w:kern w:val="0"/>
                <w:sz w:val="24"/>
              </w:rPr>
              <w:t>提供的《</w:t>
            </w:r>
            <w:r>
              <w:rPr>
                <w:rFonts w:hint="eastAsia" w:ascii="Times New Roman" w:hAnsi="Times New Roman" w:eastAsia="仿宋_GB2312" w:cs="Times New Roman"/>
                <w:color w:val="auto"/>
                <w:kern w:val="0"/>
                <w:sz w:val="24"/>
              </w:rPr>
              <w:t>食品</w:t>
            </w:r>
            <w:r>
              <w:rPr>
                <w:rFonts w:ascii="Times New Roman" w:hAnsi="Times New Roman" w:eastAsia="仿宋_GB2312" w:cs="Times New Roman"/>
                <w:color w:val="auto"/>
                <w:kern w:val="0"/>
                <w:sz w:val="24"/>
              </w:rPr>
              <w:t>生产加工场所各功能区间布局</w:t>
            </w:r>
            <w:r>
              <w:rPr>
                <w:rFonts w:hint="eastAsia" w:ascii="Times New Roman" w:hAnsi="Times New Roman" w:eastAsia="仿宋_GB2312" w:cs="Times New Roman"/>
                <w:color w:val="auto"/>
                <w:kern w:val="0"/>
                <w:sz w:val="24"/>
              </w:rPr>
              <w:t>平面图</w:t>
            </w:r>
            <w:r>
              <w:rPr>
                <w:rFonts w:ascii="Times New Roman" w:hAnsi="Times New Roman" w:eastAsia="仿宋_GB2312" w:cs="Times New Roman"/>
                <w:color w:val="auto"/>
                <w:kern w:val="0"/>
                <w:sz w:val="24"/>
              </w:rPr>
              <w:t>》与实际一致。</w:t>
            </w:r>
          </w:p>
        </w:tc>
        <w:tc>
          <w:tcPr>
            <w:tcW w:w="2976" w:type="dxa"/>
            <w:tcBorders>
              <w:top w:val="nil"/>
              <w:left w:val="nil"/>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符合规定要求。</w:t>
            </w:r>
          </w:p>
        </w:tc>
        <w:tc>
          <w:tcPr>
            <w:tcW w:w="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3</w:t>
            </w:r>
          </w:p>
        </w:tc>
        <w:tc>
          <w:tcPr>
            <w:tcW w:w="1275" w:type="dxa"/>
            <w:vMerge w:val="restart"/>
            <w:tcBorders>
              <w:top w:val="nil"/>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　</w:t>
            </w:r>
          </w:p>
        </w:tc>
        <w:tc>
          <w:tcPr>
            <w:tcW w:w="2694" w:type="dxa"/>
            <w:vMerge w:val="restart"/>
            <w:tcBorders>
              <w:top w:val="nil"/>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p>
        </w:tc>
      </w:tr>
      <w:tr>
        <w:tblPrEx>
          <w:tblCellMar>
            <w:top w:w="0" w:type="dxa"/>
            <w:left w:w="108" w:type="dxa"/>
            <w:bottom w:w="0" w:type="dxa"/>
            <w:right w:w="108" w:type="dxa"/>
          </w:tblCellMar>
        </w:tblPrEx>
        <w:trPr>
          <w:cantSplit/>
          <w:trHeight w:val="829"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976" w:type="dxa"/>
            <w:tcBorders>
              <w:top w:val="nil"/>
              <w:left w:val="nil"/>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作业区布局和划分存在轻微缺陷。现场提供的</w:t>
            </w:r>
            <w:r>
              <w:rPr>
                <w:rFonts w:ascii="Times New Roman" w:hAnsi="Times New Roman" w:eastAsia="仿宋_GB2312" w:cs="Times New Roman"/>
                <w:color w:val="auto"/>
                <w:kern w:val="0"/>
                <w:sz w:val="24"/>
              </w:rPr>
              <w:t>平面图与实际不一致。</w:t>
            </w:r>
          </w:p>
        </w:tc>
        <w:tc>
          <w:tcPr>
            <w:tcW w:w="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1</w:t>
            </w: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r>
      <w:tr>
        <w:tblPrEx>
          <w:tblCellMar>
            <w:top w:w="0" w:type="dxa"/>
            <w:left w:w="108" w:type="dxa"/>
            <w:bottom w:w="0" w:type="dxa"/>
            <w:right w:w="108" w:type="dxa"/>
          </w:tblCellMar>
        </w:tblPrEx>
        <w:trPr>
          <w:cantSplit/>
          <w:trHeight w:val="1299"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976" w:type="dxa"/>
            <w:tcBorders>
              <w:top w:val="nil"/>
              <w:left w:val="nil"/>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厂房面积与空间不能满足生产需求，或者作业区布局和划分不合理，或者检验室未与生产区域分隔。</w:t>
            </w:r>
            <w:r>
              <w:rPr>
                <w:rFonts w:ascii="Times New Roman" w:hAnsi="Times New Roman" w:eastAsia="仿宋_GB2312" w:cs="Times New Roman"/>
                <w:color w:val="auto"/>
                <w:kern w:val="0"/>
                <w:sz w:val="24"/>
              </w:rPr>
              <w:tab/>
            </w:r>
          </w:p>
        </w:tc>
        <w:tc>
          <w:tcPr>
            <w:tcW w:w="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0</w:t>
            </w: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r>
      <w:tr>
        <w:tblPrEx>
          <w:tblCellMar>
            <w:top w:w="0" w:type="dxa"/>
            <w:left w:w="108" w:type="dxa"/>
            <w:bottom w:w="0" w:type="dxa"/>
            <w:right w:w="108" w:type="dxa"/>
          </w:tblCellMar>
        </w:tblPrEx>
        <w:trPr>
          <w:cantSplit/>
          <w:trHeight w:val="85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3969" w:type="dxa"/>
            <w:vMerge w:val="restart"/>
            <w:tcBorders>
              <w:top w:val="nil"/>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2.</w:t>
            </w:r>
            <w:r>
              <w:rPr>
                <w:rFonts w:ascii="Times New Roman" w:hAnsi="Times New Roman" w:cs="Times New Roman"/>
                <w:color w:val="auto"/>
              </w:rPr>
              <w:t xml:space="preserve"> </w:t>
            </w:r>
            <w:r>
              <w:rPr>
                <w:rFonts w:hint="eastAsia" w:ascii="Times New Roman" w:hAnsi="Times New Roman" w:eastAsia="仿宋_GB2312" w:cs="Times New Roman"/>
                <w:color w:val="auto"/>
                <w:kern w:val="0"/>
                <w:sz w:val="24"/>
              </w:rPr>
              <w:t>车间保持清洁，顶棚、墙壁、门窗和地面应当采用无毒、无味、防渗透、防霉、不易破损脱落的材料建造，结构合理，易于清洁；顶棚结构不利于冷凝水垂直滴落，裸露食品上方的管路应当有防止灰尘散落及水滴掉落的措施；门窗应当闭合严密，不透水、不变形，并有防止虫害侵入的措施；地面应当平坦防滑、无裂缝。</w:t>
            </w:r>
          </w:p>
        </w:tc>
        <w:tc>
          <w:tcPr>
            <w:tcW w:w="2976" w:type="dxa"/>
            <w:tcBorders>
              <w:top w:val="nil"/>
              <w:left w:val="nil"/>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符合规定要求。</w:t>
            </w:r>
          </w:p>
        </w:tc>
        <w:tc>
          <w:tcPr>
            <w:tcW w:w="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3</w:t>
            </w:r>
          </w:p>
        </w:tc>
        <w:tc>
          <w:tcPr>
            <w:tcW w:w="1275" w:type="dxa"/>
            <w:vMerge w:val="restart"/>
            <w:tcBorders>
              <w:top w:val="nil"/>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　</w:t>
            </w:r>
          </w:p>
        </w:tc>
        <w:tc>
          <w:tcPr>
            <w:tcW w:w="2694" w:type="dxa"/>
            <w:vMerge w:val="restart"/>
            <w:tcBorders>
              <w:top w:val="nil"/>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p>
        </w:tc>
      </w:tr>
      <w:tr>
        <w:tblPrEx>
          <w:tblCellMar>
            <w:top w:w="0" w:type="dxa"/>
            <w:left w:w="108" w:type="dxa"/>
            <w:bottom w:w="0" w:type="dxa"/>
            <w:right w:w="108" w:type="dxa"/>
          </w:tblCellMar>
        </w:tblPrEx>
        <w:trPr>
          <w:cantSplit/>
          <w:trHeight w:val="1416"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976" w:type="dxa"/>
            <w:tcBorders>
              <w:top w:val="nil"/>
              <w:left w:val="nil"/>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车间清洁程度以及顶棚、墙壁、地面和门窗或者相关防护措施略有不足。</w:t>
            </w:r>
          </w:p>
        </w:tc>
        <w:tc>
          <w:tcPr>
            <w:tcW w:w="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1</w:t>
            </w: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r>
      <w:tr>
        <w:tblPrEx>
          <w:tblCellMar>
            <w:top w:w="0" w:type="dxa"/>
            <w:left w:w="108" w:type="dxa"/>
            <w:bottom w:w="0" w:type="dxa"/>
            <w:right w:w="108" w:type="dxa"/>
          </w:tblCellMar>
        </w:tblPrEx>
        <w:trPr>
          <w:cantSplit/>
          <w:trHeight w:val="739"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976" w:type="dxa"/>
            <w:tcBorders>
              <w:top w:val="nil"/>
              <w:left w:val="nil"/>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严重不符合规定要求。</w:t>
            </w:r>
          </w:p>
        </w:tc>
        <w:tc>
          <w:tcPr>
            <w:tcW w:w="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0</w:t>
            </w: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r>
      <w:tr>
        <w:tblPrEx>
          <w:tblCellMar>
            <w:top w:w="0" w:type="dxa"/>
            <w:left w:w="108" w:type="dxa"/>
            <w:bottom w:w="0" w:type="dxa"/>
            <w:right w:w="108" w:type="dxa"/>
          </w:tblCellMar>
        </w:tblPrEx>
        <w:trPr>
          <w:cantSplit/>
          <w:trHeight w:val="666" w:hRule="atLeast"/>
        </w:trPr>
        <w:tc>
          <w:tcPr>
            <w:tcW w:w="724"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1.3</w:t>
            </w:r>
          </w:p>
        </w:tc>
        <w:tc>
          <w:tcPr>
            <w:tcW w:w="1418"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库房要求</w:t>
            </w:r>
          </w:p>
        </w:tc>
        <w:tc>
          <w:tcPr>
            <w:tcW w:w="3969"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1.</w:t>
            </w:r>
            <w:r>
              <w:rPr>
                <w:rFonts w:ascii="Times New Roman" w:hAnsi="Times New Roman" w:cs="Times New Roman"/>
                <w:color w:val="auto"/>
              </w:rPr>
              <w:t xml:space="preserve"> </w:t>
            </w:r>
            <w:r>
              <w:rPr>
                <w:rFonts w:hint="eastAsia" w:ascii="Times New Roman" w:hAnsi="Times New Roman" w:eastAsia="仿宋_GB2312" w:cs="Times New Roman"/>
                <w:color w:val="auto"/>
                <w:kern w:val="0"/>
                <w:sz w:val="24"/>
              </w:rPr>
              <w:t>应当具有与所生产产品的数量、贮存要求相适应的，</w:t>
            </w:r>
            <w:r>
              <w:rPr>
                <w:rFonts w:ascii="Times New Roman" w:hAnsi="Times New Roman" w:eastAsia="仿宋_GB2312" w:cs="Times New Roman"/>
                <w:color w:val="auto"/>
                <w:kern w:val="0"/>
                <w:sz w:val="24"/>
              </w:rPr>
              <w:t>与《</w:t>
            </w:r>
            <w:r>
              <w:rPr>
                <w:rFonts w:hint="eastAsia" w:ascii="Times New Roman" w:hAnsi="Times New Roman" w:eastAsia="仿宋_GB2312" w:cs="Times New Roman"/>
                <w:color w:val="auto"/>
                <w:kern w:val="0"/>
                <w:sz w:val="24"/>
              </w:rPr>
              <w:t>食品</w:t>
            </w:r>
            <w:r>
              <w:rPr>
                <w:rFonts w:ascii="Times New Roman" w:hAnsi="Times New Roman" w:eastAsia="仿宋_GB2312" w:cs="Times New Roman"/>
                <w:color w:val="auto"/>
                <w:kern w:val="0"/>
                <w:sz w:val="24"/>
              </w:rPr>
              <w:t>生产加工场所平面图》</w:t>
            </w:r>
            <w:r>
              <w:rPr>
                <w:rFonts w:hint="eastAsia" w:ascii="Times New Roman" w:hAnsi="Times New Roman" w:eastAsia="仿宋_GB2312" w:cs="Times New Roman"/>
                <w:color w:val="auto"/>
                <w:kern w:val="0"/>
                <w:sz w:val="24"/>
              </w:rPr>
              <w:t>《食品</w:t>
            </w:r>
            <w:r>
              <w:rPr>
                <w:rFonts w:ascii="Times New Roman" w:hAnsi="Times New Roman" w:eastAsia="仿宋_GB2312" w:cs="Times New Roman"/>
                <w:color w:val="auto"/>
                <w:kern w:val="0"/>
                <w:sz w:val="24"/>
              </w:rPr>
              <w:t>生产加工场所各功能区间布局</w:t>
            </w:r>
            <w:r>
              <w:rPr>
                <w:rFonts w:hint="eastAsia" w:ascii="Times New Roman" w:hAnsi="Times New Roman" w:eastAsia="仿宋_GB2312" w:cs="Times New Roman"/>
                <w:color w:val="auto"/>
                <w:kern w:val="0"/>
                <w:sz w:val="24"/>
              </w:rPr>
              <w:t>平面图》中</w:t>
            </w:r>
            <w:r>
              <w:rPr>
                <w:rFonts w:ascii="Times New Roman" w:hAnsi="Times New Roman" w:eastAsia="仿宋_GB2312" w:cs="Times New Roman"/>
                <w:color w:val="auto"/>
                <w:kern w:val="0"/>
                <w:sz w:val="24"/>
              </w:rPr>
              <w:t>标注的库房一致</w:t>
            </w:r>
            <w:r>
              <w:rPr>
                <w:rFonts w:hint="eastAsia" w:ascii="Times New Roman" w:hAnsi="Times New Roman" w:eastAsia="仿宋_GB2312" w:cs="Times New Roman"/>
                <w:color w:val="auto"/>
                <w:kern w:val="0"/>
                <w:sz w:val="24"/>
              </w:rPr>
              <w:t>。库房整洁，地面平整，易于维护、清洁，防止虫害侵入和藏匿。必要时库房应当设置相适应的温度、湿度控制等设施。</w:t>
            </w:r>
          </w:p>
        </w:tc>
        <w:tc>
          <w:tcPr>
            <w:tcW w:w="2976" w:type="dxa"/>
            <w:tcBorders>
              <w:top w:val="nil"/>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符合规定要求。</w:t>
            </w:r>
          </w:p>
        </w:tc>
        <w:tc>
          <w:tcPr>
            <w:tcW w:w="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3</w:t>
            </w:r>
          </w:p>
        </w:tc>
        <w:tc>
          <w:tcPr>
            <w:tcW w:w="1275" w:type="dxa"/>
            <w:vMerge w:val="restart"/>
            <w:tcBorders>
              <w:top w:val="nil"/>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　</w:t>
            </w:r>
          </w:p>
        </w:tc>
        <w:tc>
          <w:tcPr>
            <w:tcW w:w="2694" w:type="dxa"/>
            <w:vMerge w:val="restart"/>
            <w:tcBorders>
              <w:top w:val="nil"/>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p>
        </w:tc>
      </w:tr>
      <w:tr>
        <w:tblPrEx>
          <w:tblCellMar>
            <w:top w:w="0" w:type="dxa"/>
            <w:left w:w="108" w:type="dxa"/>
            <w:bottom w:w="0" w:type="dxa"/>
            <w:right w:w="108" w:type="dxa"/>
          </w:tblCellMar>
        </w:tblPrEx>
        <w:trPr>
          <w:cantSplit/>
          <w:trHeight w:val="973"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976" w:type="dxa"/>
            <w:tcBorders>
              <w:top w:val="nil"/>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库房整洁程度或者相关设施略有不足。实际</w:t>
            </w:r>
            <w:r>
              <w:rPr>
                <w:rFonts w:ascii="Times New Roman" w:hAnsi="Times New Roman" w:eastAsia="仿宋_GB2312" w:cs="Times New Roman"/>
                <w:color w:val="auto"/>
                <w:kern w:val="0"/>
                <w:sz w:val="24"/>
              </w:rPr>
              <w:t>库房与平面图标注不一致。</w:t>
            </w:r>
          </w:p>
        </w:tc>
        <w:tc>
          <w:tcPr>
            <w:tcW w:w="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1</w:t>
            </w: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r>
      <w:tr>
        <w:tblPrEx>
          <w:tblCellMar>
            <w:top w:w="0" w:type="dxa"/>
            <w:left w:w="108" w:type="dxa"/>
            <w:bottom w:w="0" w:type="dxa"/>
            <w:right w:w="108" w:type="dxa"/>
          </w:tblCellMar>
        </w:tblPrEx>
        <w:trPr>
          <w:cantSplit/>
          <w:trHeight w:val="703"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976" w:type="dxa"/>
            <w:tcBorders>
              <w:top w:val="nil"/>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严重不符合规定要求。</w:t>
            </w:r>
          </w:p>
        </w:tc>
        <w:tc>
          <w:tcPr>
            <w:tcW w:w="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0</w:t>
            </w: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r>
      <w:tr>
        <w:tblPrEx>
          <w:tblCellMar>
            <w:top w:w="0" w:type="dxa"/>
            <w:left w:w="108" w:type="dxa"/>
            <w:bottom w:w="0" w:type="dxa"/>
            <w:right w:w="108" w:type="dxa"/>
          </w:tblCellMar>
        </w:tblPrEx>
        <w:trPr>
          <w:cantSplit/>
          <w:trHeight w:val="524"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3969"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2.</w:t>
            </w:r>
            <w:r>
              <w:rPr>
                <w:rFonts w:ascii="Times New Roman" w:hAnsi="Times New Roman" w:cs="Times New Roman"/>
                <w:color w:val="auto"/>
              </w:rPr>
              <w:t xml:space="preserve"> </w:t>
            </w:r>
            <w:r>
              <w:rPr>
                <w:rFonts w:hint="eastAsia" w:ascii="Times New Roman" w:hAnsi="Times New Roman" w:eastAsia="仿宋_GB2312" w:cs="Times New Roman"/>
                <w:color w:val="auto"/>
                <w:kern w:val="0"/>
                <w:sz w:val="24"/>
              </w:rPr>
              <w:t>原料、半成品、成品、包装材料等应当依据性质的不同分设库房或分区存放。清洁剂、消毒剂、杀虫剂、润滑剂、燃料等物料应当分别安全包装，与原料、半成品、成品、包装材料等分隔放置。库房内的物料应当与墙壁、地面保持适当距离，并明确标识，防止交叉污染。</w:t>
            </w:r>
          </w:p>
        </w:tc>
        <w:tc>
          <w:tcPr>
            <w:tcW w:w="2976" w:type="dxa"/>
            <w:tcBorders>
              <w:top w:val="nil"/>
              <w:left w:val="nil"/>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符合规定要求。</w:t>
            </w:r>
          </w:p>
        </w:tc>
        <w:tc>
          <w:tcPr>
            <w:tcW w:w="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3</w:t>
            </w:r>
          </w:p>
        </w:tc>
        <w:tc>
          <w:tcPr>
            <w:tcW w:w="1275" w:type="dxa"/>
            <w:vMerge w:val="restart"/>
            <w:tcBorders>
              <w:top w:val="nil"/>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　</w:t>
            </w:r>
          </w:p>
        </w:tc>
        <w:tc>
          <w:tcPr>
            <w:tcW w:w="2694" w:type="dxa"/>
            <w:vMerge w:val="restart"/>
            <w:tcBorders>
              <w:top w:val="nil"/>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p>
        </w:tc>
      </w:tr>
      <w:tr>
        <w:tblPrEx>
          <w:tblCellMar>
            <w:top w:w="0" w:type="dxa"/>
            <w:left w:w="108" w:type="dxa"/>
            <w:bottom w:w="0" w:type="dxa"/>
            <w:right w:w="108" w:type="dxa"/>
          </w:tblCellMar>
        </w:tblPrEx>
        <w:trPr>
          <w:cantSplit/>
          <w:trHeight w:val="708"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976" w:type="dxa"/>
            <w:tcBorders>
              <w:top w:val="nil"/>
              <w:left w:val="nil"/>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物料存放或标识略有不足。</w:t>
            </w:r>
          </w:p>
        </w:tc>
        <w:tc>
          <w:tcPr>
            <w:tcW w:w="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1</w:t>
            </w: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r>
      <w:tr>
        <w:tblPrEx>
          <w:tblCellMar>
            <w:top w:w="0" w:type="dxa"/>
            <w:left w:w="108" w:type="dxa"/>
            <w:bottom w:w="0" w:type="dxa"/>
            <w:right w:w="108" w:type="dxa"/>
          </w:tblCellMar>
        </w:tblPrEx>
        <w:trPr>
          <w:cantSplit/>
          <w:trHeight w:val="1825"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976" w:type="dxa"/>
            <w:tcBorders>
              <w:top w:val="nil"/>
              <w:left w:val="nil"/>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原料、半成品、成品、包装材料等与清洁剂、消毒剂、杀虫剂、润滑剂、燃料等物料未分隔存放；物料无标识或标识混乱。</w:t>
            </w:r>
          </w:p>
        </w:tc>
        <w:tc>
          <w:tcPr>
            <w:tcW w:w="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0</w:t>
            </w: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r>
    </w:tbl>
    <w:p>
      <w:pPr>
        <w:spacing w:before="240" w:beforeLines="100" w:after="120" w:afterLines="50" w:line="400" w:lineRule="exact"/>
        <w:jc w:val="center"/>
        <w:outlineLvl w:val="0"/>
        <w:rPr>
          <w:rFonts w:eastAsia="黑体"/>
          <w:color w:val="auto"/>
          <w:sz w:val="32"/>
          <w:szCs w:val="32"/>
        </w:rPr>
      </w:pPr>
      <w:r>
        <w:rPr>
          <w:rFonts w:hint="eastAsia" w:eastAsia="黑体"/>
          <w:color w:val="auto"/>
          <w:sz w:val="32"/>
          <w:szCs w:val="32"/>
        </w:rPr>
        <w:t>二、设备设施（共</w:t>
      </w:r>
      <w:r>
        <w:rPr>
          <w:rFonts w:eastAsia="黑体"/>
          <w:color w:val="auto"/>
          <w:sz w:val="32"/>
          <w:szCs w:val="32"/>
        </w:rPr>
        <w:t>36</w:t>
      </w:r>
      <w:r>
        <w:rPr>
          <w:rFonts w:hint="eastAsia" w:eastAsia="黑体"/>
          <w:color w:val="auto"/>
          <w:sz w:val="32"/>
          <w:szCs w:val="32"/>
        </w:rPr>
        <w:t>分）</w:t>
      </w:r>
    </w:p>
    <w:tbl>
      <w:tblPr>
        <w:tblStyle w:val="13"/>
        <w:tblW w:w="1348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418"/>
        <w:gridCol w:w="3970"/>
        <w:gridCol w:w="2977"/>
        <w:gridCol w:w="426"/>
        <w:gridCol w:w="1275"/>
        <w:gridCol w:w="2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blHeader/>
        </w:trPr>
        <w:tc>
          <w:tcPr>
            <w:tcW w:w="7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Times New Roman"/>
                <w:bCs/>
                <w:color w:val="auto"/>
                <w:kern w:val="0"/>
                <w:sz w:val="24"/>
              </w:rPr>
            </w:pPr>
            <w:r>
              <w:rPr>
                <w:rFonts w:hint="eastAsia" w:ascii="黑体" w:hAnsi="黑体" w:eastAsia="黑体" w:cs="Times New Roman"/>
                <w:bCs/>
                <w:color w:val="auto"/>
                <w:kern w:val="0"/>
                <w:sz w:val="24"/>
              </w:rPr>
              <w:t>序号</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Times New Roman"/>
                <w:bCs/>
                <w:color w:val="auto"/>
                <w:kern w:val="0"/>
                <w:sz w:val="24"/>
              </w:rPr>
            </w:pPr>
            <w:r>
              <w:rPr>
                <w:rFonts w:hint="eastAsia" w:ascii="黑体" w:hAnsi="黑体" w:eastAsia="黑体" w:cs="Times New Roman"/>
                <w:bCs/>
                <w:color w:val="auto"/>
                <w:kern w:val="0"/>
                <w:sz w:val="24"/>
              </w:rPr>
              <w:t>核查项目</w:t>
            </w:r>
          </w:p>
        </w:tc>
        <w:tc>
          <w:tcPr>
            <w:tcW w:w="397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Times New Roman"/>
                <w:bCs/>
                <w:color w:val="auto"/>
                <w:kern w:val="0"/>
                <w:sz w:val="24"/>
              </w:rPr>
            </w:pPr>
            <w:r>
              <w:rPr>
                <w:rFonts w:hint="eastAsia" w:ascii="黑体" w:hAnsi="黑体" w:eastAsia="黑体" w:cs="Times New Roman"/>
                <w:bCs/>
                <w:color w:val="auto"/>
                <w:kern w:val="0"/>
                <w:sz w:val="24"/>
              </w:rPr>
              <w:t>核查内容</w:t>
            </w:r>
          </w:p>
        </w:tc>
        <w:tc>
          <w:tcPr>
            <w:tcW w:w="340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Times New Roman"/>
                <w:bCs/>
                <w:color w:val="auto"/>
                <w:kern w:val="0"/>
                <w:sz w:val="24"/>
              </w:rPr>
            </w:pPr>
            <w:r>
              <w:rPr>
                <w:rFonts w:hint="eastAsia" w:ascii="黑体" w:hAnsi="黑体" w:eastAsia="黑体" w:cs="Times New Roman"/>
                <w:bCs/>
                <w:color w:val="auto"/>
                <w:kern w:val="0"/>
                <w:sz w:val="24"/>
              </w:rPr>
              <w:t>评分标准</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Times New Roman"/>
                <w:bCs/>
                <w:color w:val="auto"/>
                <w:kern w:val="0"/>
                <w:sz w:val="24"/>
              </w:rPr>
            </w:pPr>
            <w:r>
              <w:rPr>
                <w:rFonts w:hint="eastAsia" w:ascii="黑体" w:hAnsi="黑体" w:eastAsia="黑体" w:cs="Times New Roman"/>
                <w:bCs/>
                <w:color w:val="auto"/>
                <w:kern w:val="0"/>
                <w:sz w:val="24"/>
              </w:rPr>
              <w:t>核查得分</w:t>
            </w:r>
          </w:p>
        </w:tc>
        <w:tc>
          <w:tcPr>
            <w:tcW w:w="26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Times New Roman"/>
                <w:bCs/>
                <w:color w:val="auto"/>
                <w:kern w:val="0"/>
                <w:sz w:val="24"/>
              </w:rPr>
            </w:pPr>
            <w:r>
              <w:rPr>
                <w:rFonts w:hint="eastAsia" w:ascii="黑体" w:hAnsi="黑体" w:eastAsia="黑体" w:cs="Times New Roman"/>
                <w:bCs/>
                <w:color w:val="auto"/>
                <w:kern w:val="0"/>
                <w:sz w:val="24"/>
              </w:rPr>
              <w:t>核查记录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724" w:type="dxa"/>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2.1</w:t>
            </w:r>
          </w:p>
        </w:tc>
        <w:tc>
          <w:tcPr>
            <w:tcW w:w="1418" w:type="dxa"/>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生产设备</w:t>
            </w:r>
          </w:p>
        </w:tc>
        <w:tc>
          <w:tcPr>
            <w:tcW w:w="3970"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1.</w:t>
            </w:r>
            <w:r>
              <w:rPr>
                <w:rFonts w:ascii="Times New Roman" w:hAnsi="Times New Roman" w:cs="Times New Roman"/>
                <w:color w:val="auto"/>
              </w:rPr>
              <w:t xml:space="preserve"> </w:t>
            </w:r>
            <w:r>
              <w:rPr>
                <w:rFonts w:hint="eastAsia" w:ascii="Times New Roman" w:hAnsi="Times New Roman" w:eastAsia="仿宋_GB2312" w:cs="Times New Roman"/>
                <w:color w:val="auto"/>
                <w:kern w:val="0"/>
                <w:sz w:val="24"/>
              </w:rPr>
              <w:t>应当配备与生产的产品品种、数量相适应的生产设备，设备的性能和精度应当满足生产加工的要求。</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符合规定要求。</w:t>
            </w:r>
          </w:p>
        </w:tc>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3</w:t>
            </w:r>
          </w:p>
        </w:tc>
        <w:tc>
          <w:tcPr>
            <w:tcW w:w="1275"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　</w:t>
            </w:r>
          </w:p>
        </w:tc>
        <w:tc>
          <w:tcPr>
            <w:tcW w:w="2695" w:type="dxa"/>
            <w:vMerge w:val="restart"/>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trPr>
        <w:tc>
          <w:tcPr>
            <w:tcW w:w="724" w:type="dxa"/>
            <w:vMerge w:val="continue"/>
            <w:tcBorders>
              <w:left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1418" w:type="dxa"/>
            <w:vMerge w:val="continue"/>
            <w:tcBorders>
              <w:left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39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977"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个别设备的性能和精度略有不足。</w:t>
            </w:r>
          </w:p>
        </w:tc>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1</w:t>
            </w: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6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trPr>
        <w:tc>
          <w:tcPr>
            <w:tcW w:w="724" w:type="dxa"/>
            <w:vMerge w:val="continue"/>
            <w:tcBorders>
              <w:left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1418" w:type="dxa"/>
            <w:vMerge w:val="continue"/>
            <w:tcBorders>
              <w:left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39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977"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生产设备不能满足生产加工要求。</w:t>
            </w:r>
          </w:p>
        </w:tc>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0</w:t>
            </w: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6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trPr>
        <w:tc>
          <w:tcPr>
            <w:tcW w:w="724" w:type="dxa"/>
            <w:vMerge w:val="continue"/>
            <w:tcBorders>
              <w:left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1418" w:type="dxa"/>
            <w:vMerge w:val="continue"/>
            <w:tcBorders>
              <w:left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3970"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2.</w:t>
            </w:r>
            <w:r>
              <w:rPr>
                <w:rFonts w:ascii="Times New Roman" w:hAnsi="Times New Roman" w:cs="Times New Roman"/>
                <w:color w:val="auto"/>
              </w:rPr>
              <w:t xml:space="preserve"> </w:t>
            </w:r>
            <w:r>
              <w:rPr>
                <w:rFonts w:hint="eastAsia" w:ascii="Times New Roman" w:hAnsi="Times New Roman" w:eastAsia="仿宋_GB2312" w:cs="Times New Roman"/>
                <w:color w:val="auto"/>
                <w:kern w:val="0"/>
                <w:sz w:val="24"/>
              </w:rPr>
              <w:t>生产设备清洁卫生，直接接触原料、半成品、成品的设备、工器具材质应当无毒、无味、抗腐蚀、不易脱落，表面光滑、无吸收性，易于清洁保养和消毒。</w:t>
            </w:r>
            <w:r>
              <w:rPr>
                <w:rFonts w:ascii="Times New Roman" w:hAnsi="Times New Roman" w:eastAsia="仿宋_GB2312" w:cs="Times New Roman"/>
                <w:color w:val="auto"/>
                <w:kern w:val="0"/>
                <w:sz w:val="24"/>
              </w:rPr>
              <w:tab/>
            </w:r>
          </w:p>
        </w:tc>
        <w:tc>
          <w:tcPr>
            <w:tcW w:w="2977"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符合规定要求。</w:t>
            </w:r>
          </w:p>
        </w:tc>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3</w:t>
            </w:r>
          </w:p>
        </w:tc>
        <w:tc>
          <w:tcPr>
            <w:tcW w:w="1275"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　</w:t>
            </w:r>
          </w:p>
        </w:tc>
        <w:tc>
          <w:tcPr>
            <w:tcW w:w="2695" w:type="dxa"/>
            <w:vMerge w:val="restart"/>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trPr>
        <w:tc>
          <w:tcPr>
            <w:tcW w:w="724" w:type="dxa"/>
            <w:vMerge w:val="continue"/>
            <w:tcBorders>
              <w:left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1418" w:type="dxa"/>
            <w:vMerge w:val="continue"/>
            <w:tcBorders>
              <w:left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39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977"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设备清洁卫生程度或者设备材质略有不足。</w:t>
            </w:r>
          </w:p>
        </w:tc>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1</w:t>
            </w: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6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724" w:type="dxa"/>
            <w:vMerge w:val="continue"/>
            <w:tcBorders>
              <w:left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1418" w:type="dxa"/>
            <w:vMerge w:val="continue"/>
            <w:tcBorders>
              <w:left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39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977"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严重不符合规定要求。</w:t>
            </w:r>
          </w:p>
        </w:tc>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0</w:t>
            </w: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6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trPr>
        <w:tc>
          <w:tcPr>
            <w:tcW w:w="724" w:type="dxa"/>
            <w:vMerge w:val="continue"/>
            <w:tcBorders>
              <w:left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p>
        </w:tc>
        <w:tc>
          <w:tcPr>
            <w:tcW w:w="1418" w:type="dxa"/>
            <w:vMerge w:val="continue"/>
            <w:tcBorders>
              <w:left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p>
        </w:tc>
        <w:tc>
          <w:tcPr>
            <w:tcW w:w="3970" w:type="dxa"/>
            <w:vMerge w:val="restart"/>
            <w:tcBorders>
              <w:top w:val="single" w:color="auto" w:sz="4" w:space="0"/>
              <w:left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 xml:space="preserve">3. </w:t>
            </w:r>
            <w:r>
              <w:rPr>
                <w:rFonts w:hint="eastAsia" w:ascii="Times New Roman" w:hAnsi="Times New Roman" w:eastAsia="仿宋_GB2312" w:cs="Times New Roman"/>
                <w:color w:val="auto"/>
                <w:kern w:val="0"/>
                <w:sz w:val="24"/>
              </w:rPr>
              <w:t>生产设备维修保养良好，并做好记录。用于监测、控制、记录的设备应当定期校准、维护。停用的设备需标注清晰，不影响正常生产。</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符合规定要求。</w:t>
            </w:r>
          </w:p>
        </w:tc>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3</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p>
        </w:tc>
        <w:tc>
          <w:tcPr>
            <w:tcW w:w="2695"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trPr>
        <w:tc>
          <w:tcPr>
            <w:tcW w:w="724" w:type="dxa"/>
            <w:vMerge w:val="continue"/>
            <w:tcBorders>
              <w:left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p>
        </w:tc>
        <w:tc>
          <w:tcPr>
            <w:tcW w:w="1418" w:type="dxa"/>
            <w:vMerge w:val="continue"/>
            <w:tcBorders>
              <w:left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p>
        </w:tc>
        <w:tc>
          <w:tcPr>
            <w:tcW w:w="3970" w:type="dxa"/>
            <w:vMerge w:val="continue"/>
            <w:tcBorders>
              <w:left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p>
        </w:tc>
        <w:tc>
          <w:tcPr>
            <w:tcW w:w="2977"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维修保养、记录略有不足，或者个别监测设备未校准。</w:t>
            </w:r>
          </w:p>
        </w:tc>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1</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p>
        </w:tc>
        <w:tc>
          <w:tcPr>
            <w:tcW w:w="2695"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724" w:type="dxa"/>
            <w:vMerge w:val="continue"/>
            <w:tcBorders>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p>
        </w:tc>
        <w:tc>
          <w:tcPr>
            <w:tcW w:w="1418" w:type="dxa"/>
            <w:vMerge w:val="continue"/>
            <w:tcBorders>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p>
        </w:tc>
        <w:tc>
          <w:tcPr>
            <w:tcW w:w="3970" w:type="dxa"/>
            <w:vMerge w:val="continue"/>
            <w:tcBorders>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p>
        </w:tc>
        <w:tc>
          <w:tcPr>
            <w:tcW w:w="2977"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无维修保养记录，或者监测设备无法满足规定要求。</w:t>
            </w:r>
          </w:p>
        </w:tc>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0</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p>
        </w:tc>
        <w:tc>
          <w:tcPr>
            <w:tcW w:w="2695"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trPr>
        <w:tc>
          <w:tcPr>
            <w:tcW w:w="72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2.2</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供排水设施</w:t>
            </w:r>
          </w:p>
        </w:tc>
        <w:tc>
          <w:tcPr>
            <w:tcW w:w="3970"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1.</w:t>
            </w:r>
            <w:r>
              <w:rPr>
                <w:rFonts w:ascii="Times New Roman" w:hAnsi="Times New Roman" w:cs="Times New Roman"/>
                <w:color w:val="auto"/>
              </w:rPr>
              <w:t xml:space="preserve"> </w:t>
            </w:r>
            <w:r>
              <w:rPr>
                <w:rFonts w:hint="eastAsia" w:ascii="Times New Roman" w:hAnsi="Times New Roman" w:eastAsia="仿宋_GB2312" w:cs="Times New Roman"/>
                <w:color w:val="auto"/>
                <w:kern w:val="0"/>
                <w:sz w:val="24"/>
              </w:rPr>
              <w:t>食品加工用水的水质应当符合</w:t>
            </w:r>
            <w:r>
              <w:rPr>
                <w:rFonts w:ascii="Times New Roman" w:hAnsi="Times New Roman" w:eastAsia="仿宋_GB2312" w:cs="Times New Roman"/>
                <w:color w:val="auto"/>
                <w:kern w:val="0"/>
                <w:sz w:val="24"/>
              </w:rPr>
              <w:t>GB 5749</w:t>
            </w:r>
            <w:r>
              <w:rPr>
                <w:rFonts w:hint="eastAsia" w:ascii="Times New Roman" w:hAnsi="Times New Roman" w:eastAsia="仿宋_GB2312" w:cs="Times New Roman"/>
                <w:color w:val="auto"/>
                <w:kern w:val="0"/>
                <w:sz w:val="24"/>
              </w:rPr>
              <w:t>的规定，有特殊要求的应当符合相应规定。食品加工用水与其他不与食品接触的用水应当以完全分离的管路输送，避免交叉污染。各管路系统应当明确标识以便区分。</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符合规定要求。</w:t>
            </w:r>
          </w:p>
        </w:tc>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3</w:t>
            </w:r>
          </w:p>
        </w:tc>
        <w:tc>
          <w:tcPr>
            <w:tcW w:w="1275"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　</w:t>
            </w:r>
          </w:p>
        </w:tc>
        <w:tc>
          <w:tcPr>
            <w:tcW w:w="2695" w:type="dxa"/>
            <w:vMerge w:val="restart"/>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39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977"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供水管路标识略有不足。</w:t>
            </w:r>
          </w:p>
        </w:tc>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1</w:t>
            </w: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6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4" w:hRule="atLeast"/>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39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977"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食品加工用水的水质不符合规定要求，或者供水管路无标识或标识混乱，或者供水管路存在交叉污染。</w:t>
            </w:r>
          </w:p>
        </w:tc>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0</w:t>
            </w: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6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3970"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2.</w:t>
            </w:r>
            <w:r>
              <w:rPr>
                <w:rFonts w:ascii="Times New Roman" w:hAnsi="Times New Roman" w:cs="Times New Roman"/>
                <w:color w:val="auto"/>
              </w:rPr>
              <w:t xml:space="preserve"> </w:t>
            </w:r>
            <w:r>
              <w:rPr>
                <w:rFonts w:hint="eastAsia" w:ascii="Times New Roman" w:hAnsi="Times New Roman" w:eastAsia="仿宋_GB2312" w:cs="Times New Roman"/>
                <w:color w:val="auto"/>
                <w:kern w:val="0"/>
                <w:sz w:val="24"/>
              </w:rPr>
              <w:t>排水系统的设计和建造应保证排水畅通，便于清洁维护，且满足生产的需要。室内排水应当由清洁程度高的区域流向清洁程度低的区域，且有防止逆流的措施。排水系统出入口设计合理并有防止污染和虫害侵入的措施。</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符合规定要求。</w:t>
            </w:r>
          </w:p>
        </w:tc>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3</w:t>
            </w:r>
          </w:p>
        </w:tc>
        <w:tc>
          <w:tcPr>
            <w:tcW w:w="1275"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　</w:t>
            </w:r>
          </w:p>
        </w:tc>
        <w:tc>
          <w:tcPr>
            <w:tcW w:w="2695"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39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977"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排水略有不畅，或者相关防护措施略有不足。</w:t>
            </w:r>
          </w:p>
        </w:tc>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1</w:t>
            </w: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6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0" w:hRule="atLeast"/>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39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977"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排水不畅，或者室内排水流向不符合要求，或者相关防护措施严重不足。</w:t>
            </w:r>
          </w:p>
        </w:tc>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0</w:t>
            </w: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6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trPr>
        <w:tc>
          <w:tcPr>
            <w:tcW w:w="72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2.3</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清洁消毒设施</w:t>
            </w:r>
          </w:p>
        </w:tc>
        <w:tc>
          <w:tcPr>
            <w:tcW w:w="3970"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应当配备相应的食品、工器具和设备等的专用清洁设施，必要时配备相应的消毒设施。清洁、消毒方式应当避免对产品造成交叉污染，使用的洗涤剂、消毒剂应当符合相关规定要求。</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符合规定要求。</w:t>
            </w:r>
          </w:p>
        </w:tc>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3</w:t>
            </w:r>
          </w:p>
        </w:tc>
        <w:tc>
          <w:tcPr>
            <w:tcW w:w="1275"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　</w:t>
            </w:r>
          </w:p>
        </w:tc>
        <w:tc>
          <w:tcPr>
            <w:tcW w:w="2695"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39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977"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清洁消毒设施略有不足。</w:t>
            </w:r>
          </w:p>
        </w:tc>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1</w:t>
            </w: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6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1" w:hRule="atLeast"/>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39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977"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清洁消毒设施严重不足，或者清洁消毒的方式、用品不符合规定要求。</w:t>
            </w:r>
          </w:p>
        </w:tc>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0</w:t>
            </w: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6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72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2.4</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废弃物存放设施</w:t>
            </w:r>
          </w:p>
        </w:tc>
        <w:tc>
          <w:tcPr>
            <w:tcW w:w="3970"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应当配备设计合理、防止渗漏、易于清洁的存放废弃物的专用设施，必要时可设置废弃物临时存放设施。车间内存放废弃物的设施和容器应当标识清晰，不得与盛装原料、半成品、成品的容器混用。</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符合规定要求。</w:t>
            </w:r>
          </w:p>
        </w:tc>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3</w:t>
            </w:r>
          </w:p>
        </w:tc>
        <w:tc>
          <w:tcPr>
            <w:tcW w:w="1275"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　</w:t>
            </w:r>
          </w:p>
        </w:tc>
        <w:tc>
          <w:tcPr>
            <w:tcW w:w="2695" w:type="dxa"/>
            <w:vMerge w:val="restar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39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977"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废弃物存放设施及标识略有不足。</w:t>
            </w:r>
          </w:p>
        </w:tc>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1</w:t>
            </w: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6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6" w:hRule="atLeast"/>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39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977"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废弃物存放设施设计不合理，或者与盛装原料、半成品、成品的容器混用。</w:t>
            </w:r>
          </w:p>
        </w:tc>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0</w:t>
            </w: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6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6" w:hRule="atLeast"/>
        </w:trPr>
        <w:tc>
          <w:tcPr>
            <w:tcW w:w="72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2.5</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个人卫生设施</w:t>
            </w:r>
            <w:r>
              <w:rPr>
                <w:rFonts w:hint="eastAsia" w:ascii="Times New Roman" w:hAnsi="Times New Roman" w:eastAsia="仿宋_GB2312" w:cs="Times New Roman"/>
                <w:color w:val="auto"/>
                <w:kern w:val="0"/>
                <w:sz w:val="22"/>
              </w:rPr>
              <w:t>　</w:t>
            </w:r>
          </w:p>
        </w:tc>
        <w:tc>
          <w:tcPr>
            <w:tcW w:w="3970"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生产场所或车间入口处应当设置更衣室，更衣室应当保证工作服与个人服装及其他物品分开放置；车间入口及车间内必要处，应当按需设置换鞋（或穿戴鞋套）设施或鞋靴消毒设施；清洁作业区入口应当设置与生产加工人员数量相匹配的非手动式洗手、干手和消毒设施；洗手设施的材质、结构应当易于清洁消毒，临近位置应当标示洗手方法。卫生间应当易于保持清洁，不得与生产、包装或贮存等区域直接连通，卫生间内的适当位置应当设置洗手设施。</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符合规定要求。</w:t>
            </w:r>
          </w:p>
        </w:tc>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3</w:t>
            </w:r>
          </w:p>
        </w:tc>
        <w:tc>
          <w:tcPr>
            <w:tcW w:w="1275"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　</w:t>
            </w:r>
          </w:p>
        </w:tc>
        <w:tc>
          <w:tcPr>
            <w:tcW w:w="2695" w:type="dxa"/>
            <w:vMerge w:val="restar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6" w:hRule="atLeast"/>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39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977"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个人卫生设施略有不足。</w:t>
            </w:r>
          </w:p>
        </w:tc>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1</w:t>
            </w: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6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6" w:hRule="atLeast"/>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39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977"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个人卫生设施严重不符合要求。</w:t>
            </w:r>
          </w:p>
        </w:tc>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0</w:t>
            </w: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6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72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2.6</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通风设施</w:t>
            </w:r>
          </w:p>
        </w:tc>
        <w:tc>
          <w:tcPr>
            <w:tcW w:w="3970"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应当具有适宜的通风设施，进气口位置合理，避免空气从清洁程度要求低的作业区域流向清洁程度要求高的作业区域。必要时应当安装空气过滤装置和除尘设施。通风设施应当易于清洁、维修或更换，能防止虫害侵入。</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符合规定要求。</w:t>
            </w:r>
          </w:p>
        </w:tc>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3</w:t>
            </w:r>
          </w:p>
        </w:tc>
        <w:tc>
          <w:tcPr>
            <w:tcW w:w="1275"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　</w:t>
            </w:r>
          </w:p>
        </w:tc>
        <w:tc>
          <w:tcPr>
            <w:tcW w:w="2695" w:type="dxa"/>
            <w:vMerge w:val="restar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39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977"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通风设施略有不足。</w:t>
            </w:r>
          </w:p>
        </w:tc>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1</w:t>
            </w: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6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3" w:hRule="atLeast"/>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39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977"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通风设施严重不足，或者不能满足必要的空气过滤净化、除尘、防止虫害侵入的需求。</w:t>
            </w:r>
          </w:p>
        </w:tc>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0</w:t>
            </w: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6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72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2.7</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照明设施</w:t>
            </w:r>
          </w:p>
        </w:tc>
        <w:tc>
          <w:tcPr>
            <w:tcW w:w="3970"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厂房内应当有充足的自然采光或人工照明，光泽和亮度应能满足生产和操作需要，光源应能使物料呈现真实的颜色。在暴露原料、半成品、成品正上方的照明设施应当使用安全型或有防护措施的照明设施；如需要，还应当配备应急照明设施。</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符合规定要求。</w:t>
            </w:r>
          </w:p>
        </w:tc>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3</w:t>
            </w:r>
          </w:p>
        </w:tc>
        <w:tc>
          <w:tcPr>
            <w:tcW w:w="1275"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　</w:t>
            </w:r>
          </w:p>
        </w:tc>
        <w:tc>
          <w:tcPr>
            <w:tcW w:w="2695" w:type="dxa"/>
            <w:vMerge w:val="restar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3" w:hRule="atLeast"/>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39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977"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照明设施或者防护措施略有不足，光泽和亮度略显不足，或改变物料真实颜色。</w:t>
            </w:r>
          </w:p>
        </w:tc>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1</w:t>
            </w: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6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4" w:hRule="atLeast"/>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39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977"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照明设施或者防护措施严重不足。</w:t>
            </w:r>
          </w:p>
        </w:tc>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0</w:t>
            </w: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6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72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2.8</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温控设施</w:t>
            </w:r>
          </w:p>
        </w:tc>
        <w:tc>
          <w:tcPr>
            <w:tcW w:w="3970"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应当根据生产的需要，配备适宜的加热、冷却、冷冻以及用于监测温度和控制室温的设施。</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符合规定要求。</w:t>
            </w:r>
          </w:p>
        </w:tc>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3</w:t>
            </w:r>
          </w:p>
        </w:tc>
        <w:tc>
          <w:tcPr>
            <w:tcW w:w="1275"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　</w:t>
            </w:r>
          </w:p>
        </w:tc>
        <w:tc>
          <w:tcPr>
            <w:tcW w:w="2695"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39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977"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温控或监测设施略有不足。</w:t>
            </w:r>
          </w:p>
        </w:tc>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1</w:t>
            </w: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6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39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977"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温控或监测设施严重不足。</w:t>
            </w:r>
          </w:p>
        </w:tc>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0</w:t>
            </w: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6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72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2.9</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检验设备设施</w:t>
            </w:r>
          </w:p>
        </w:tc>
        <w:tc>
          <w:tcPr>
            <w:tcW w:w="3970"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自行检验或部分自行检验的，应当具备与所检项目相适应的检验室、检验仪器设备和检验试剂。检验室应当布局合理，检验仪器设备的数量、性能、精度应当满足相应的检验需求，检验仪器设备应当按期检定或校准。</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符合规定要求。</w:t>
            </w:r>
          </w:p>
        </w:tc>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3</w:t>
            </w:r>
          </w:p>
        </w:tc>
        <w:tc>
          <w:tcPr>
            <w:tcW w:w="1275"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　</w:t>
            </w:r>
          </w:p>
        </w:tc>
        <w:tc>
          <w:tcPr>
            <w:tcW w:w="2695" w:type="dxa"/>
            <w:vMerge w:val="restar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0" w:hRule="atLeast"/>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39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977"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检验室布局略不合理，或者检验仪器设备性能略有不足，或者个别检验仪器设备未按期检定或校准。</w:t>
            </w:r>
          </w:p>
        </w:tc>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1</w:t>
            </w: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6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6" w:hRule="atLeast"/>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39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977"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检验室布局不合理，或者检验仪器设备数量、性能、</w:t>
            </w:r>
            <w:r>
              <w:rPr>
                <w:rFonts w:ascii="Times New Roman" w:hAnsi="Times New Roman" w:eastAsia="仿宋_GB2312" w:cs="Times New Roman"/>
                <w:color w:val="auto"/>
                <w:kern w:val="0"/>
                <w:sz w:val="24"/>
              </w:rPr>
              <w:t>精度</w:t>
            </w:r>
            <w:r>
              <w:rPr>
                <w:rFonts w:hint="eastAsia" w:ascii="Times New Roman" w:hAnsi="Times New Roman" w:eastAsia="仿宋_GB2312" w:cs="Times New Roman"/>
                <w:color w:val="auto"/>
                <w:kern w:val="0"/>
                <w:sz w:val="24"/>
              </w:rPr>
              <w:t>不能满足检验需求，或者检验仪器设备未检定或校准。</w:t>
            </w:r>
          </w:p>
        </w:tc>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0</w:t>
            </w: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6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r>
    </w:tbl>
    <w:p>
      <w:pPr>
        <w:spacing w:before="240" w:beforeLines="100" w:after="120" w:afterLines="50" w:line="400" w:lineRule="exact"/>
        <w:jc w:val="center"/>
        <w:outlineLvl w:val="0"/>
        <w:rPr>
          <w:rFonts w:eastAsia="黑体"/>
          <w:color w:val="auto"/>
          <w:sz w:val="32"/>
          <w:szCs w:val="32"/>
        </w:rPr>
      </w:pPr>
      <w:r>
        <w:rPr>
          <w:rFonts w:hint="eastAsia" w:eastAsia="黑体"/>
          <w:color w:val="auto"/>
          <w:sz w:val="32"/>
          <w:szCs w:val="32"/>
        </w:rPr>
        <w:t>三、设备布局和工艺流程（共</w:t>
      </w:r>
      <w:r>
        <w:rPr>
          <w:rFonts w:eastAsia="黑体"/>
          <w:color w:val="auto"/>
          <w:sz w:val="32"/>
          <w:szCs w:val="32"/>
        </w:rPr>
        <w:t>9</w:t>
      </w:r>
      <w:r>
        <w:rPr>
          <w:rFonts w:hint="eastAsia" w:eastAsia="黑体"/>
          <w:color w:val="auto"/>
          <w:sz w:val="32"/>
          <w:szCs w:val="32"/>
        </w:rPr>
        <w:t>分）</w:t>
      </w:r>
    </w:p>
    <w:tbl>
      <w:tblPr>
        <w:tblStyle w:val="13"/>
        <w:tblW w:w="13477" w:type="dxa"/>
        <w:tblInd w:w="98" w:type="dxa"/>
        <w:tblLayout w:type="autofit"/>
        <w:tblCellMar>
          <w:top w:w="0" w:type="dxa"/>
          <w:left w:w="108" w:type="dxa"/>
          <w:bottom w:w="0" w:type="dxa"/>
          <w:right w:w="108" w:type="dxa"/>
        </w:tblCellMar>
      </w:tblPr>
      <w:tblGrid>
        <w:gridCol w:w="719"/>
        <w:gridCol w:w="1418"/>
        <w:gridCol w:w="3969"/>
        <w:gridCol w:w="2976"/>
        <w:gridCol w:w="457"/>
        <w:gridCol w:w="1263"/>
        <w:gridCol w:w="2675"/>
      </w:tblGrid>
      <w:tr>
        <w:tblPrEx>
          <w:tblCellMar>
            <w:top w:w="0" w:type="dxa"/>
            <w:left w:w="108" w:type="dxa"/>
            <w:bottom w:w="0" w:type="dxa"/>
            <w:right w:w="108" w:type="dxa"/>
          </w:tblCellMar>
        </w:tblPrEx>
        <w:trPr>
          <w:cantSplit/>
          <w:trHeight w:val="470" w:hRule="atLeast"/>
          <w:tblHeader/>
        </w:trPr>
        <w:tc>
          <w:tcPr>
            <w:tcW w:w="7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黑体" w:cs="Times New Roman"/>
                <w:bCs/>
                <w:color w:val="auto"/>
                <w:kern w:val="0"/>
                <w:sz w:val="24"/>
              </w:rPr>
            </w:pPr>
            <w:r>
              <w:rPr>
                <w:rFonts w:hint="eastAsia" w:ascii="Times New Roman" w:hAnsi="Times New Roman" w:eastAsia="黑体" w:cs="Times New Roman"/>
                <w:bCs/>
                <w:color w:val="auto"/>
                <w:kern w:val="0"/>
                <w:sz w:val="24"/>
              </w:rPr>
              <w:t>序号</w:t>
            </w:r>
          </w:p>
        </w:tc>
        <w:tc>
          <w:tcPr>
            <w:tcW w:w="141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黑体" w:cs="Times New Roman"/>
                <w:bCs/>
                <w:color w:val="auto"/>
                <w:kern w:val="0"/>
                <w:sz w:val="24"/>
              </w:rPr>
            </w:pPr>
            <w:r>
              <w:rPr>
                <w:rFonts w:hint="eastAsia" w:ascii="Times New Roman" w:hAnsi="Times New Roman" w:eastAsia="黑体" w:cs="Times New Roman"/>
                <w:bCs/>
                <w:color w:val="auto"/>
                <w:kern w:val="0"/>
                <w:sz w:val="24"/>
              </w:rPr>
              <w:t>核查项目</w:t>
            </w:r>
          </w:p>
        </w:tc>
        <w:tc>
          <w:tcPr>
            <w:tcW w:w="396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黑体" w:cs="Times New Roman"/>
                <w:bCs/>
                <w:color w:val="auto"/>
                <w:kern w:val="0"/>
                <w:sz w:val="24"/>
              </w:rPr>
            </w:pPr>
            <w:r>
              <w:rPr>
                <w:rFonts w:hint="eastAsia" w:ascii="Times New Roman" w:hAnsi="Times New Roman" w:eastAsia="黑体" w:cs="Times New Roman"/>
                <w:bCs/>
                <w:color w:val="auto"/>
                <w:kern w:val="0"/>
                <w:sz w:val="24"/>
              </w:rPr>
              <w:t>核查内容</w:t>
            </w:r>
          </w:p>
        </w:tc>
        <w:tc>
          <w:tcPr>
            <w:tcW w:w="3433"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黑体" w:cs="Times New Roman"/>
                <w:bCs/>
                <w:color w:val="auto"/>
                <w:kern w:val="0"/>
                <w:sz w:val="24"/>
              </w:rPr>
            </w:pPr>
            <w:r>
              <w:rPr>
                <w:rFonts w:hint="eastAsia" w:ascii="Times New Roman" w:hAnsi="Times New Roman" w:eastAsia="黑体" w:cs="Times New Roman"/>
                <w:bCs/>
                <w:color w:val="auto"/>
                <w:kern w:val="0"/>
                <w:sz w:val="24"/>
              </w:rPr>
              <w:t>评分标准</w:t>
            </w:r>
          </w:p>
        </w:tc>
        <w:tc>
          <w:tcPr>
            <w:tcW w:w="126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黑体" w:cs="Times New Roman"/>
                <w:bCs/>
                <w:color w:val="auto"/>
                <w:kern w:val="0"/>
                <w:sz w:val="24"/>
              </w:rPr>
            </w:pPr>
            <w:r>
              <w:rPr>
                <w:rFonts w:hint="eastAsia" w:ascii="Times New Roman" w:hAnsi="Times New Roman" w:eastAsia="黑体" w:cs="Times New Roman"/>
                <w:bCs/>
                <w:color w:val="auto"/>
                <w:kern w:val="0"/>
                <w:sz w:val="24"/>
              </w:rPr>
              <w:t>核查得分</w:t>
            </w:r>
          </w:p>
        </w:tc>
        <w:tc>
          <w:tcPr>
            <w:tcW w:w="267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黑体" w:cs="Times New Roman"/>
                <w:bCs/>
                <w:color w:val="auto"/>
                <w:kern w:val="0"/>
                <w:sz w:val="24"/>
              </w:rPr>
            </w:pPr>
            <w:r>
              <w:rPr>
                <w:rFonts w:hint="eastAsia" w:ascii="Times New Roman" w:hAnsi="Times New Roman" w:eastAsia="黑体" w:cs="Times New Roman"/>
                <w:bCs/>
                <w:color w:val="auto"/>
                <w:kern w:val="0"/>
                <w:sz w:val="24"/>
              </w:rPr>
              <w:t>核查记录</w:t>
            </w:r>
          </w:p>
        </w:tc>
      </w:tr>
      <w:tr>
        <w:tblPrEx>
          <w:tblCellMar>
            <w:top w:w="0" w:type="dxa"/>
            <w:left w:w="108" w:type="dxa"/>
            <w:bottom w:w="0" w:type="dxa"/>
            <w:right w:w="108" w:type="dxa"/>
          </w:tblCellMar>
        </w:tblPrEx>
        <w:trPr>
          <w:cantSplit/>
          <w:trHeight w:val="548" w:hRule="atLeast"/>
        </w:trPr>
        <w:tc>
          <w:tcPr>
            <w:tcW w:w="719"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3.1</w:t>
            </w:r>
          </w:p>
        </w:tc>
        <w:tc>
          <w:tcPr>
            <w:tcW w:w="1418"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设备布局</w:t>
            </w:r>
          </w:p>
        </w:tc>
        <w:tc>
          <w:tcPr>
            <w:tcW w:w="3969" w:type="dxa"/>
            <w:vMerge w:val="restart"/>
            <w:tcBorders>
              <w:top w:val="nil"/>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生产设备应当按照工艺流程有序排列，合理布局，便于清洁、消毒和维修保养，避免交叉污染。</w:t>
            </w:r>
          </w:p>
        </w:tc>
        <w:tc>
          <w:tcPr>
            <w:tcW w:w="2976" w:type="dxa"/>
            <w:tcBorders>
              <w:top w:val="nil"/>
              <w:left w:val="nil"/>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符合规定要求。</w:t>
            </w:r>
          </w:p>
        </w:tc>
        <w:tc>
          <w:tcPr>
            <w:tcW w:w="457"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3</w:t>
            </w:r>
          </w:p>
        </w:tc>
        <w:tc>
          <w:tcPr>
            <w:tcW w:w="1263" w:type="dxa"/>
            <w:vMerge w:val="restart"/>
            <w:tcBorders>
              <w:top w:val="nil"/>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　</w:t>
            </w:r>
          </w:p>
        </w:tc>
        <w:tc>
          <w:tcPr>
            <w:tcW w:w="2675" w:type="dxa"/>
            <w:vMerge w:val="restart"/>
            <w:tcBorders>
              <w:top w:val="nil"/>
              <w:left w:val="nil"/>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p>
        </w:tc>
      </w:tr>
      <w:tr>
        <w:tblPrEx>
          <w:tblCellMar>
            <w:top w:w="0" w:type="dxa"/>
            <w:left w:w="108" w:type="dxa"/>
            <w:bottom w:w="0" w:type="dxa"/>
            <w:right w:w="108" w:type="dxa"/>
          </w:tblCellMar>
        </w:tblPrEx>
        <w:trPr>
          <w:cantSplit/>
          <w:trHeight w:val="5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976" w:type="dxa"/>
            <w:tcBorders>
              <w:top w:val="nil"/>
              <w:left w:val="nil"/>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个别设备布局不合理。</w:t>
            </w:r>
          </w:p>
        </w:tc>
        <w:tc>
          <w:tcPr>
            <w:tcW w:w="457"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1</w:t>
            </w: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0" w:type="auto"/>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r>
      <w:tr>
        <w:tblPrEx>
          <w:tblCellMar>
            <w:top w:w="0" w:type="dxa"/>
            <w:left w:w="108" w:type="dxa"/>
            <w:bottom w:w="0" w:type="dxa"/>
            <w:right w:w="108" w:type="dxa"/>
          </w:tblCellMar>
        </w:tblPrEx>
        <w:trPr>
          <w:cantSplit/>
          <w:trHeight w:val="558"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976" w:type="dxa"/>
            <w:tcBorders>
              <w:top w:val="nil"/>
              <w:left w:val="nil"/>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设备布局存在交叉污染。</w:t>
            </w:r>
          </w:p>
        </w:tc>
        <w:tc>
          <w:tcPr>
            <w:tcW w:w="457"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0</w:t>
            </w: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0" w:type="auto"/>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r>
      <w:tr>
        <w:tblPrEx>
          <w:tblCellMar>
            <w:top w:w="0" w:type="dxa"/>
            <w:left w:w="108" w:type="dxa"/>
            <w:bottom w:w="0" w:type="dxa"/>
            <w:right w:w="108" w:type="dxa"/>
          </w:tblCellMar>
        </w:tblPrEx>
        <w:trPr>
          <w:cantSplit/>
          <w:trHeight w:val="539" w:hRule="atLeast"/>
        </w:trPr>
        <w:tc>
          <w:tcPr>
            <w:tcW w:w="719"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3.2</w:t>
            </w:r>
          </w:p>
        </w:tc>
        <w:tc>
          <w:tcPr>
            <w:tcW w:w="1418"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工艺流程</w:t>
            </w:r>
          </w:p>
        </w:tc>
        <w:tc>
          <w:tcPr>
            <w:tcW w:w="3969" w:type="dxa"/>
            <w:vMerge w:val="restart"/>
            <w:tcBorders>
              <w:top w:val="nil"/>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1.</w:t>
            </w:r>
            <w:r>
              <w:rPr>
                <w:rFonts w:ascii="Times New Roman" w:hAnsi="Times New Roman" w:cs="Times New Roman"/>
                <w:color w:val="auto"/>
              </w:rPr>
              <w:t xml:space="preserve"> </w:t>
            </w:r>
            <w:r>
              <w:rPr>
                <w:rFonts w:hint="eastAsia" w:ascii="Times New Roman" w:hAnsi="Times New Roman" w:eastAsia="仿宋_GB2312" w:cs="Times New Roman"/>
                <w:color w:val="auto"/>
                <w:kern w:val="0"/>
                <w:sz w:val="24"/>
              </w:rPr>
              <w:t>应当具备合理的生产工艺流程，防止生产过程中造成交叉污染。申请的食品类别、产品配方、工艺流程应当与产品执行标准相适应。执行企业标准的，应当依法备案或</w:t>
            </w:r>
            <w:r>
              <w:rPr>
                <w:rFonts w:ascii="Times New Roman" w:hAnsi="Times New Roman" w:eastAsia="仿宋_GB2312" w:cs="Times New Roman"/>
                <w:color w:val="auto"/>
                <w:kern w:val="0"/>
                <w:sz w:val="24"/>
              </w:rPr>
              <w:t>公开</w:t>
            </w:r>
            <w:r>
              <w:rPr>
                <w:rFonts w:hint="eastAsia" w:ascii="Times New Roman" w:hAnsi="Times New Roman" w:eastAsia="仿宋_GB2312" w:cs="Times New Roman"/>
                <w:color w:val="auto"/>
                <w:kern w:val="0"/>
                <w:sz w:val="24"/>
              </w:rPr>
              <w:t>。</w:t>
            </w:r>
          </w:p>
        </w:tc>
        <w:tc>
          <w:tcPr>
            <w:tcW w:w="2976" w:type="dxa"/>
            <w:tcBorders>
              <w:top w:val="nil"/>
              <w:left w:val="nil"/>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符合规定要求。</w:t>
            </w:r>
          </w:p>
        </w:tc>
        <w:tc>
          <w:tcPr>
            <w:tcW w:w="457"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3</w:t>
            </w:r>
          </w:p>
        </w:tc>
        <w:tc>
          <w:tcPr>
            <w:tcW w:w="1263" w:type="dxa"/>
            <w:vMerge w:val="restart"/>
            <w:tcBorders>
              <w:top w:val="nil"/>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　</w:t>
            </w:r>
          </w:p>
        </w:tc>
        <w:tc>
          <w:tcPr>
            <w:tcW w:w="2675" w:type="dxa"/>
            <w:vMerge w:val="restart"/>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color w:val="auto"/>
                <w:kern w:val="0"/>
                <w:sz w:val="24"/>
              </w:rPr>
            </w:pPr>
          </w:p>
        </w:tc>
      </w:tr>
      <w:tr>
        <w:tblPrEx>
          <w:tblCellMar>
            <w:top w:w="0" w:type="dxa"/>
            <w:left w:w="108" w:type="dxa"/>
            <w:bottom w:w="0" w:type="dxa"/>
            <w:right w:w="108" w:type="dxa"/>
          </w:tblCellMar>
        </w:tblPrEx>
        <w:trPr>
          <w:cantSplit/>
          <w:trHeight w:val="565"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976" w:type="dxa"/>
            <w:tcBorders>
              <w:top w:val="nil"/>
              <w:left w:val="nil"/>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个别工艺流程略不合理。</w:t>
            </w:r>
          </w:p>
        </w:tc>
        <w:tc>
          <w:tcPr>
            <w:tcW w:w="457"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1</w:t>
            </w: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r>
      <w:tr>
        <w:tblPrEx>
          <w:tblCellMar>
            <w:top w:w="0" w:type="dxa"/>
            <w:left w:w="108" w:type="dxa"/>
            <w:bottom w:w="0" w:type="dxa"/>
            <w:right w:w="108" w:type="dxa"/>
          </w:tblCellMar>
        </w:tblPrEx>
        <w:trPr>
          <w:cantSplit/>
          <w:trHeight w:val="1412"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976" w:type="dxa"/>
            <w:tcBorders>
              <w:top w:val="nil"/>
              <w:left w:val="nil"/>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工艺流程存在交叉污染，或者不符合产品执行标准的规定，或者企业标准未依法备案或</w:t>
            </w:r>
            <w:r>
              <w:rPr>
                <w:rFonts w:ascii="Times New Roman" w:hAnsi="Times New Roman" w:eastAsia="仿宋_GB2312" w:cs="Times New Roman"/>
                <w:color w:val="auto"/>
                <w:kern w:val="0"/>
                <w:sz w:val="24"/>
              </w:rPr>
              <w:t>公开</w:t>
            </w:r>
            <w:r>
              <w:rPr>
                <w:rFonts w:hint="eastAsia" w:ascii="Times New Roman" w:hAnsi="Times New Roman" w:eastAsia="仿宋_GB2312" w:cs="Times New Roman"/>
                <w:color w:val="auto"/>
                <w:kern w:val="0"/>
                <w:sz w:val="24"/>
              </w:rPr>
              <w:t>。</w:t>
            </w:r>
          </w:p>
        </w:tc>
        <w:tc>
          <w:tcPr>
            <w:tcW w:w="457"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0</w:t>
            </w: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r>
      <w:tr>
        <w:tblPrEx>
          <w:tblCellMar>
            <w:top w:w="0" w:type="dxa"/>
            <w:left w:w="108" w:type="dxa"/>
            <w:bottom w:w="0" w:type="dxa"/>
            <w:right w:w="108" w:type="dxa"/>
          </w:tblCellMar>
        </w:tblPrEx>
        <w:trPr>
          <w:cantSplit/>
          <w:trHeight w:val="679"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3969" w:type="dxa"/>
            <w:vMerge w:val="restart"/>
            <w:tcBorders>
              <w:top w:val="nil"/>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2.</w:t>
            </w:r>
            <w:r>
              <w:rPr>
                <w:rFonts w:ascii="Times New Roman" w:hAnsi="Times New Roman" w:cs="Times New Roman"/>
                <w:color w:val="auto"/>
              </w:rPr>
              <w:t xml:space="preserve"> </w:t>
            </w:r>
            <w:r>
              <w:rPr>
                <w:rFonts w:hint="eastAsia" w:ascii="Times New Roman" w:hAnsi="Times New Roman" w:eastAsia="仿宋_GB2312" w:cs="Times New Roman"/>
                <w:color w:val="auto"/>
                <w:kern w:val="0"/>
                <w:sz w:val="24"/>
              </w:rPr>
              <w:t>应当制定所需的产品配方、工艺规程等工艺文件，明确生产过程中的食品安全关键环节和</w:t>
            </w:r>
            <w:r>
              <w:rPr>
                <w:rFonts w:ascii="Times New Roman" w:hAnsi="Times New Roman" w:eastAsia="仿宋_GB2312" w:cs="Times New Roman"/>
                <w:color w:val="auto"/>
                <w:kern w:val="0"/>
                <w:sz w:val="24"/>
              </w:rPr>
              <w:t>控制措施</w:t>
            </w:r>
            <w:r>
              <w:rPr>
                <w:rFonts w:hint="eastAsia" w:ascii="Times New Roman" w:hAnsi="Times New Roman" w:eastAsia="仿宋_GB2312" w:cs="Times New Roman"/>
                <w:color w:val="auto"/>
                <w:kern w:val="0"/>
                <w:sz w:val="24"/>
              </w:rPr>
              <w:t>。生产复配食品添加剂时，产品配方、有害物质、致病性微生物等控制要求应当符合食品安全标准规定。</w:t>
            </w:r>
          </w:p>
        </w:tc>
        <w:tc>
          <w:tcPr>
            <w:tcW w:w="2976" w:type="dxa"/>
            <w:tcBorders>
              <w:top w:val="nil"/>
              <w:left w:val="nil"/>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符合规定要求。</w:t>
            </w:r>
          </w:p>
        </w:tc>
        <w:tc>
          <w:tcPr>
            <w:tcW w:w="457"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3</w:t>
            </w:r>
          </w:p>
        </w:tc>
        <w:tc>
          <w:tcPr>
            <w:tcW w:w="1263" w:type="dxa"/>
            <w:vMerge w:val="restart"/>
            <w:tcBorders>
              <w:top w:val="nil"/>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　</w:t>
            </w:r>
          </w:p>
        </w:tc>
        <w:tc>
          <w:tcPr>
            <w:tcW w:w="2675" w:type="dxa"/>
            <w:vMerge w:val="restart"/>
            <w:tcBorders>
              <w:top w:val="nil"/>
              <w:left w:val="nil"/>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p>
        </w:tc>
      </w:tr>
      <w:tr>
        <w:tblPrEx>
          <w:tblCellMar>
            <w:top w:w="0" w:type="dxa"/>
            <w:left w:w="108" w:type="dxa"/>
            <w:bottom w:w="0" w:type="dxa"/>
            <w:right w:w="108" w:type="dxa"/>
          </w:tblCellMar>
        </w:tblPrEx>
        <w:trPr>
          <w:cantSplit/>
          <w:trHeight w:val="717"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976" w:type="dxa"/>
            <w:tcBorders>
              <w:top w:val="nil"/>
              <w:left w:val="nil"/>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工艺文件略有不足。</w:t>
            </w:r>
          </w:p>
        </w:tc>
        <w:tc>
          <w:tcPr>
            <w:tcW w:w="457"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1</w:t>
            </w: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0" w:type="auto"/>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r>
      <w:tr>
        <w:tblPrEx>
          <w:tblCellMar>
            <w:top w:w="0" w:type="dxa"/>
            <w:left w:w="108" w:type="dxa"/>
            <w:bottom w:w="0" w:type="dxa"/>
            <w:right w:w="108" w:type="dxa"/>
          </w:tblCellMar>
        </w:tblPrEx>
        <w:trPr>
          <w:cantSplit/>
          <w:trHeight w:val="1549"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976" w:type="dxa"/>
            <w:tcBorders>
              <w:top w:val="nil"/>
              <w:left w:val="nil"/>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工艺文件严重不足，或者生产复配食品添加剂的相关控制要求不符合食品安全标准的规定。</w:t>
            </w:r>
          </w:p>
        </w:tc>
        <w:tc>
          <w:tcPr>
            <w:tcW w:w="457"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0</w:t>
            </w: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0" w:type="auto"/>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r>
    </w:tbl>
    <w:p>
      <w:pPr>
        <w:spacing w:before="240" w:beforeLines="100" w:after="120" w:afterLines="50" w:line="400" w:lineRule="exact"/>
        <w:jc w:val="center"/>
        <w:outlineLvl w:val="0"/>
        <w:rPr>
          <w:rFonts w:eastAsia="黑体"/>
          <w:color w:val="auto"/>
          <w:sz w:val="32"/>
          <w:szCs w:val="32"/>
        </w:rPr>
      </w:pPr>
      <w:r>
        <w:rPr>
          <w:rFonts w:hint="eastAsia" w:eastAsia="黑体"/>
          <w:color w:val="auto"/>
          <w:sz w:val="32"/>
          <w:szCs w:val="32"/>
        </w:rPr>
        <w:t>四、人员管理（共</w:t>
      </w:r>
      <w:r>
        <w:rPr>
          <w:rFonts w:eastAsia="黑体"/>
          <w:color w:val="auto"/>
          <w:sz w:val="32"/>
          <w:szCs w:val="32"/>
        </w:rPr>
        <w:t>9</w:t>
      </w:r>
      <w:r>
        <w:rPr>
          <w:rFonts w:hint="eastAsia" w:eastAsia="黑体"/>
          <w:color w:val="auto"/>
          <w:sz w:val="32"/>
          <w:szCs w:val="32"/>
        </w:rPr>
        <w:t>分）</w:t>
      </w:r>
    </w:p>
    <w:tbl>
      <w:tblPr>
        <w:tblStyle w:val="13"/>
        <w:tblW w:w="13482" w:type="dxa"/>
        <w:tblInd w:w="93" w:type="dxa"/>
        <w:tblLayout w:type="autofit"/>
        <w:tblCellMar>
          <w:top w:w="0" w:type="dxa"/>
          <w:left w:w="108" w:type="dxa"/>
          <w:bottom w:w="0" w:type="dxa"/>
          <w:right w:w="108" w:type="dxa"/>
        </w:tblCellMar>
      </w:tblPr>
      <w:tblGrid>
        <w:gridCol w:w="734"/>
        <w:gridCol w:w="1408"/>
        <w:gridCol w:w="3969"/>
        <w:gridCol w:w="2976"/>
        <w:gridCol w:w="426"/>
        <w:gridCol w:w="1275"/>
        <w:gridCol w:w="2694"/>
      </w:tblGrid>
      <w:tr>
        <w:tblPrEx>
          <w:tblCellMar>
            <w:top w:w="0" w:type="dxa"/>
            <w:left w:w="108" w:type="dxa"/>
            <w:bottom w:w="0" w:type="dxa"/>
            <w:right w:w="108" w:type="dxa"/>
          </w:tblCellMar>
        </w:tblPrEx>
        <w:trPr>
          <w:cantSplit/>
          <w:trHeight w:val="20" w:hRule="atLeast"/>
          <w:tblHeader/>
        </w:trPr>
        <w:tc>
          <w:tcPr>
            <w:tcW w:w="7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黑体" w:cs="Times New Roman"/>
                <w:bCs/>
                <w:color w:val="auto"/>
                <w:kern w:val="0"/>
                <w:sz w:val="24"/>
              </w:rPr>
            </w:pPr>
            <w:r>
              <w:rPr>
                <w:rFonts w:hint="eastAsia" w:ascii="Times New Roman" w:hAnsi="Times New Roman" w:eastAsia="黑体" w:cs="Times New Roman"/>
                <w:bCs/>
                <w:color w:val="auto"/>
                <w:kern w:val="0"/>
                <w:sz w:val="24"/>
              </w:rPr>
              <w:t>序号</w:t>
            </w:r>
          </w:p>
        </w:tc>
        <w:tc>
          <w:tcPr>
            <w:tcW w:w="140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黑体" w:cs="Times New Roman"/>
                <w:bCs/>
                <w:color w:val="auto"/>
                <w:kern w:val="0"/>
                <w:sz w:val="24"/>
              </w:rPr>
            </w:pPr>
            <w:r>
              <w:rPr>
                <w:rFonts w:hint="eastAsia" w:ascii="Times New Roman" w:hAnsi="Times New Roman" w:eastAsia="黑体" w:cs="Times New Roman"/>
                <w:bCs/>
                <w:color w:val="auto"/>
                <w:kern w:val="0"/>
                <w:sz w:val="24"/>
              </w:rPr>
              <w:t>核查项目</w:t>
            </w:r>
          </w:p>
        </w:tc>
        <w:tc>
          <w:tcPr>
            <w:tcW w:w="396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黑体" w:cs="Times New Roman"/>
                <w:bCs/>
                <w:color w:val="auto"/>
                <w:kern w:val="0"/>
                <w:sz w:val="24"/>
              </w:rPr>
            </w:pPr>
            <w:r>
              <w:rPr>
                <w:rFonts w:hint="eastAsia" w:ascii="Times New Roman" w:hAnsi="Times New Roman" w:eastAsia="黑体" w:cs="Times New Roman"/>
                <w:bCs/>
                <w:color w:val="auto"/>
                <w:kern w:val="0"/>
                <w:sz w:val="24"/>
              </w:rPr>
              <w:t>核查内容</w:t>
            </w:r>
          </w:p>
        </w:tc>
        <w:tc>
          <w:tcPr>
            <w:tcW w:w="3402"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黑体" w:cs="Times New Roman"/>
                <w:bCs/>
                <w:color w:val="auto"/>
                <w:kern w:val="0"/>
                <w:sz w:val="24"/>
              </w:rPr>
            </w:pPr>
            <w:r>
              <w:rPr>
                <w:rFonts w:hint="eastAsia" w:ascii="Times New Roman" w:hAnsi="Times New Roman" w:eastAsia="黑体" w:cs="Times New Roman"/>
                <w:bCs/>
                <w:color w:val="auto"/>
                <w:kern w:val="0"/>
                <w:sz w:val="24"/>
              </w:rPr>
              <w:t>评分标准</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黑体" w:cs="Times New Roman"/>
                <w:bCs/>
                <w:color w:val="auto"/>
                <w:kern w:val="0"/>
                <w:sz w:val="24"/>
              </w:rPr>
            </w:pPr>
            <w:r>
              <w:rPr>
                <w:rFonts w:hint="eastAsia" w:ascii="Times New Roman" w:hAnsi="Times New Roman" w:eastAsia="黑体" w:cs="Times New Roman"/>
                <w:bCs/>
                <w:color w:val="auto"/>
                <w:kern w:val="0"/>
                <w:sz w:val="24"/>
              </w:rPr>
              <w:t>核查得分</w:t>
            </w:r>
          </w:p>
        </w:tc>
        <w:tc>
          <w:tcPr>
            <w:tcW w:w="2694"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黑体" w:cs="Times New Roman"/>
                <w:bCs/>
                <w:color w:val="auto"/>
                <w:kern w:val="0"/>
                <w:sz w:val="24"/>
              </w:rPr>
            </w:pPr>
            <w:r>
              <w:rPr>
                <w:rFonts w:hint="eastAsia" w:ascii="Times New Roman" w:hAnsi="Times New Roman" w:eastAsia="黑体" w:cs="Times New Roman"/>
                <w:bCs/>
                <w:color w:val="auto"/>
                <w:kern w:val="0"/>
                <w:sz w:val="24"/>
              </w:rPr>
              <w:t>核查记录</w:t>
            </w:r>
          </w:p>
        </w:tc>
      </w:tr>
      <w:tr>
        <w:tblPrEx>
          <w:tblCellMar>
            <w:top w:w="0" w:type="dxa"/>
            <w:left w:w="108" w:type="dxa"/>
            <w:bottom w:w="0" w:type="dxa"/>
            <w:right w:w="108" w:type="dxa"/>
          </w:tblCellMar>
        </w:tblPrEx>
        <w:trPr>
          <w:cantSplit/>
          <w:trHeight w:val="574" w:hRule="atLeast"/>
        </w:trPr>
        <w:tc>
          <w:tcPr>
            <w:tcW w:w="734"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4.1</w:t>
            </w:r>
          </w:p>
        </w:tc>
        <w:tc>
          <w:tcPr>
            <w:tcW w:w="1408"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人员要求</w:t>
            </w:r>
          </w:p>
        </w:tc>
        <w:tc>
          <w:tcPr>
            <w:tcW w:w="3969" w:type="dxa"/>
            <w:vMerge w:val="restart"/>
            <w:tcBorders>
              <w:top w:val="nil"/>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应当配备食品安全管理人员和食品安全专业技术人员，明确其职责。人员要求应当符合有关规定。</w:t>
            </w:r>
          </w:p>
        </w:tc>
        <w:tc>
          <w:tcPr>
            <w:tcW w:w="2976" w:type="dxa"/>
            <w:tcBorders>
              <w:top w:val="nil"/>
              <w:left w:val="nil"/>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符合规定要求。</w:t>
            </w:r>
          </w:p>
        </w:tc>
        <w:tc>
          <w:tcPr>
            <w:tcW w:w="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3</w:t>
            </w:r>
          </w:p>
        </w:tc>
        <w:tc>
          <w:tcPr>
            <w:tcW w:w="1275" w:type="dxa"/>
            <w:vMerge w:val="restart"/>
            <w:tcBorders>
              <w:top w:val="nil"/>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　</w:t>
            </w:r>
          </w:p>
        </w:tc>
        <w:tc>
          <w:tcPr>
            <w:tcW w:w="2694" w:type="dxa"/>
            <w:vMerge w:val="restart"/>
            <w:tcBorders>
              <w:top w:val="nil"/>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p>
        </w:tc>
      </w:tr>
      <w:tr>
        <w:tblPrEx>
          <w:tblCellMar>
            <w:top w:w="0" w:type="dxa"/>
            <w:left w:w="108" w:type="dxa"/>
            <w:bottom w:w="0" w:type="dxa"/>
            <w:right w:w="108" w:type="dxa"/>
          </w:tblCellMar>
        </w:tblPrEx>
        <w:trPr>
          <w:cantSplit/>
          <w:trHeight w:val="838"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976" w:type="dxa"/>
            <w:tcBorders>
              <w:top w:val="nil"/>
              <w:left w:val="nil"/>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人员职责不太明确，或者个别人员不符合规定要求。</w:t>
            </w:r>
          </w:p>
        </w:tc>
        <w:tc>
          <w:tcPr>
            <w:tcW w:w="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1</w:t>
            </w: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r>
      <w:tr>
        <w:tblPrEx>
          <w:tblCellMar>
            <w:top w:w="0" w:type="dxa"/>
            <w:left w:w="108" w:type="dxa"/>
            <w:bottom w:w="0" w:type="dxa"/>
            <w:right w:w="108" w:type="dxa"/>
          </w:tblCellMar>
        </w:tblPrEx>
        <w:trPr>
          <w:cantSplit/>
          <w:trHeight w:val="843"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976" w:type="dxa"/>
            <w:tcBorders>
              <w:top w:val="nil"/>
              <w:left w:val="nil"/>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相关人员配备不足，或者人员不符合规定要求。</w:t>
            </w:r>
          </w:p>
        </w:tc>
        <w:tc>
          <w:tcPr>
            <w:tcW w:w="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0</w:t>
            </w: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r>
      <w:tr>
        <w:tblPrEx>
          <w:tblCellMar>
            <w:top w:w="0" w:type="dxa"/>
            <w:left w:w="108" w:type="dxa"/>
            <w:bottom w:w="0" w:type="dxa"/>
            <w:right w:w="108" w:type="dxa"/>
          </w:tblCellMar>
        </w:tblPrEx>
        <w:trPr>
          <w:cantSplit/>
          <w:trHeight w:val="549" w:hRule="atLeast"/>
        </w:trPr>
        <w:tc>
          <w:tcPr>
            <w:tcW w:w="734"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4.2</w:t>
            </w:r>
          </w:p>
        </w:tc>
        <w:tc>
          <w:tcPr>
            <w:tcW w:w="1408"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人员培训</w:t>
            </w:r>
          </w:p>
        </w:tc>
        <w:tc>
          <w:tcPr>
            <w:tcW w:w="3969" w:type="dxa"/>
            <w:vMerge w:val="restart"/>
            <w:tcBorders>
              <w:top w:val="nil"/>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应当制定和实施职工培训计划，根据岗位需求开展食品安全知识及卫生培训，做好培训记录。食品安全管理人员上岗前应当经过培训，并考核合格。</w:t>
            </w:r>
            <w:r>
              <w:rPr>
                <w:rFonts w:ascii="Times New Roman" w:hAnsi="Times New Roman" w:eastAsia="仿宋_GB2312" w:cs="Times New Roman"/>
                <w:color w:val="auto"/>
                <w:kern w:val="0"/>
                <w:sz w:val="24"/>
              </w:rPr>
              <w:tab/>
            </w:r>
          </w:p>
        </w:tc>
        <w:tc>
          <w:tcPr>
            <w:tcW w:w="2976" w:type="dxa"/>
            <w:tcBorders>
              <w:top w:val="nil"/>
              <w:left w:val="nil"/>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符合规定要求。</w:t>
            </w:r>
          </w:p>
        </w:tc>
        <w:tc>
          <w:tcPr>
            <w:tcW w:w="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3</w:t>
            </w:r>
          </w:p>
        </w:tc>
        <w:tc>
          <w:tcPr>
            <w:tcW w:w="1275" w:type="dxa"/>
            <w:vMerge w:val="restart"/>
            <w:tcBorders>
              <w:top w:val="nil"/>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　</w:t>
            </w:r>
          </w:p>
        </w:tc>
        <w:tc>
          <w:tcPr>
            <w:tcW w:w="2694" w:type="dxa"/>
            <w:vMerge w:val="restart"/>
            <w:tcBorders>
              <w:top w:val="nil"/>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p>
        </w:tc>
      </w:tr>
      <w:tr>
        <w:tblPrEx>
          <w:tblCellMar>
            <w:top w:w="0" w:type="dxa"/>
            <w:left w:w="108" w:type="dxa"/>
            <w:bottom w:w="0" w:type="dxa"/>
            <w:right w:w="108" w:type="dxa"/>
          </w:tblCellMar>
        </w:tblPrEx>
        <w:trPr>
          <w:cantSplit/>
          <w:trHeight w:val="699"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976" w:type="dxa"/>
            <w:tcBorders>
              <w:top w:val="nil"/>
              <w:left w:val="nil"/>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培训计划及计划实施、培训记录略有不足。</w:t>
            </w:r>
          </w:p>
        </w:tc>
        <w:tc>
          <w:tcPr>
            <w:tcW w:w="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1</w:t>
            </w: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r>
      <w:tr>
        <w:tblPrEx>
          <w:tblCellMar>
            <w:top w:w="0" w:type="dxa"/>
            <w:left w:w="108" w:type="dxa"/>
            <w:bottom w:w="0" w:type="dxa"/>
            <w:right w:w="108" w:type="dxa"/>
          </w:tblCellMar>
        </w:tblPrEx>
        <w:trPr>
          <w:cantSplit/>
          <w:trHeight w:val="85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976" w:type="dxa"/>
            <w:tcBorders>
              <w:top w:val="nil"/>
              <w:left w:val="nil"/>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无培训计划，或计划实施严重不足，或无培训记录。</w:t>
            </w:r>
          </w:p>
        </w:tc>
        <w:tc>
          <w:tcPr>
            <w:tcW w:w="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0</w:t>
            </w: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r>
      <w:tr>
        <w:tblPrEx>
          <w:tblCellMar>
            <w:top w:w="0" w:type="dxa"/>
            <w:left w:w="108" w:type="dxa"/>
            <w:bottom w:w="0" w:type="dxa"/>
            <w:right w:w="108" w:type="dxa"/>
          </w:tblCellMar>
        </w:tblPrEx>
        <w:trPr>
          <w:cantSplit/>
          <w:trHeight w:val="935" w:hRule="atLeast"/>
        </w:trPr>
        <w:tc>
          <w:tcPr>
            <w:tcW w:w="734"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4.3</w:t>
            </w:r>
          </w:p>
        </w:tc>
        <w:tc>
          <w:tcPr>
            <w:tcW w:w="1408" w:type="dxa"/>
            <w:vMerge w:val="restar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人员健康管理制度</w:t>
            </w:r>
          </w:p>
        </w:tc>
        <w:tc>
          <w:tcPr>
            <w:tcW w:w="3969" w:type="dxa"/>
            <w:vMerge w:val="restart"/>
            <w:tcBorders>
              <w:top w:val="nil"/>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应当建立并执行从业人员健康管理制度，明确患有国务院卫生行政部门规定的有碍食品安全疾病的或有明显皮肤损伤未愈合的人员，不得从事接触直接入口食品的工作。从事接触直接入口食品工作的食品生产人员应当每年进行健康检查，取得健康证明后方可上岗工作。</w:t>
            </w:r>
          </w:p>
        </w:tc>
        <w:tc>
          <w:tcPr>
            <w:tcW w:w="2976" w:type="dxa"/>
            <w:tcBorders>
              <w:top w:val="nil"/>
              <w:left w:val="nil"/>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符合规定要求。</w:t>
            </w:r>
          </w:p>
        </w:tc>
        <w:tc>
          <w:tcPr>
            <w:tcW w:w="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3</w:t>
            </w:r>
          </w:p>
        </w:tc>
        <w:tc>
          <w:tcPr>
            <w:tcW w:w="1275" w:type="dxa"/>
            <w:vMerge w:val="restart"/>
            <w:tcBorders>
              <w:top w:val="nil"/>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　</w:t>
            </w:r>
          </w:p>
        </w:tc>
        <w:tc>
          <w:tcPr>
            <w:tcW w:w="2694" w:type="dxa"/>
            <w:vMerge w:val="restart"/>
            <w:tcBorders>
              <w:top w:val="nil"/>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p>
        </w:tc>
      </w:tr>
      <w:tr>
        <w:tblPrEx>
          <w:tblCellMar>
            <w:top w:w="0" w:type="dxa"/>
            <w:left w:w="108" w:type="dxa"/>
            <w:bottom w:w="0" w:type="dxa"/>
            <w:right w:w="108" w:type="dxa"/>
          </w:tblCellMar>
        </w:tblPrEx>
        <w:trPr>
          <w:cantSplit/>
          <w:trHeight w:val="935"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0" w:type="auto"/>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976" w:type="dxa"/>
            <w:tcBorders>
              <w:top w:val="nil"/>
              <w:left w:val="nil"/>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制度内容或执行略有缺陷。</w:t>
            </w:r>
          </w:p>
        </w:tc>
        <w:tc>
          <w:tcPr>
            <w:tcW w:w="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1</w:t>
            </w: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r>
      <w:tr>
        <w:tblPrEx>
          <w:tblCellMar>
            <w:top w:w="0" w:type="dxa"/>
            <w:left w:w="108" w:type="dxa"/>
            <w:bottom w:w="0" w:type="dxa"/>
            <w:right w:w="108" w:type="dxa"/>
          </w:tblCellMar>
        </w:tblPrEx>
        <w:trPr>
          <w:cantSplit/>
          <w:trHeight w:val="935"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0" w:type="auto"/>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976" w:type="dxa"/>
            <w:tcBorders>
              <w:top w:val="nil"/>
              <w:left w:val="nil"/>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无制度或者制度执行严重不足。</w:t>
            </w:r>
          </w:p>
        </w:tc>
        <w:tc>
          <w:tcPr>
            <w:tcW w:w="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0</w:t>
            </w: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r>
    </w:tbl>
    <w:p>
      <w:pPr>
        <w:spacing w:before="240" w:beforeLines="100" w:after="120" w:afterLines="50" w:line="400" w:lineRule="exact"/>
        <w:jc w:val="center"/>
        <w:outlineLvl w:val="0"/>
        <w:rPr>
          <w:rFonts w:eastAsia="黑体"/>
          <w:color w:val="auto"/>
          <w:sz w:val="32"/>
          <w:szCs w:val="32"/>
        </w:rPr>
      </w:pPr>
      <w:r>
        <w:rPr>
          <w:rFonts w:hint="eastAsia" w:eastAsia="黑体"/>
          <w:color w:val="auto"/>
          <w:sz w:val="32"/>
          <w:szCs w:val="32"/>
        </w:rPr>
        <w:t>五、管理制度（共</w:t>
      </w:r>
      <w:r>
        <w:rPr>
          <w:rFonts w:eastAsia="黑体"/>
          <w:color w:val="auto"/>
          <w:sz w:val="32"/>
          <w:szCs w:val="32"/>
        </w:rPr>
        <w:t>27</w:t>
      </w:r>
      <w:r>
        <w:rPr>
          <w:rFonts w:hint="eastAsia" w:eastAsia="黑体"/>
          <w:color w:val="auto"/>
          <w:sz w:val="32"/>
          <w:szCs w:val="32"/>
        </w:rPr>
        <w:t>分）</w:t>
      </w:r>
    </w:p>
    <w:tbl>
      <w:tblPr>
        <w:tblStyle w:val="13"/>
        <w:tblW w:w="135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3960"/>
        <w:gridCol w:w="2880"/>
        <w:gridCol w:w="540"/>
        <w:gridCol w:w="126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72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黑体" w:cs="Times New Roman"/>
                <w:bCs/>
                <w:color w:val="auto"/>
                <w:kern w:val="0"/>
                <w:sz w:val="24"/>
              </w:rPr>
            </w:pPr>
            <w:r>
              <w:rPr>
                <w:rFonts w:hint="eastAsia" w:ascii="Times New Roman" w:hAnsi="Times New Roman" w:eastAsia="黑体" w:cs="Times New Roman"/>
                <w:bCs/>
                <w:color w:val="auto"/>
                <w:kern w:val="0"/>
                <w:sz w:val="24"/>
              </w:rPr>
              <w:t>序号</w:t>
            </w:r>
          </w:p>
        </w:tc>
        <w:tc>
          <w:tcPr>
            <w:tcW w:w="144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黑体" w:cs="Times New Roman"/>
                <w:bCs/>
                <w:color w:val="auto"/>
                <w:kern w:val="0"/>
                <w:sz w:val="24"/>
              </w:rPr>
            </w:pPr>
            <w:r>
              <w:rPr>
                <w:rFonts w:hint="eastAsia" w:ascii="Times New Roman" w:hAnsi="Times New Roman" w:eastAsia="黑体" w:cs="Times New Roman"/>
                <w:bCs/>
                <w:color w:val="auto"/>
                <w:kern w:val="0"/>
                <w:sz w:val="24"/>
              </w:rPr>
              <w:t>核查项目</w:t>
            </w:r>
          </w:p>
        </w:tc>
        <w:tc>
          <w:tcPr>
            <w:tcW w:w="396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黑体" w:cs="Times New Roman"/>
                <w:bCs/>
                <w:color w:val="auto"/>
                <w:kern w:val="0"/>
                <w:sz w:val="24"/>
              </w:rPr>
            </w:pPr>
            <w:r>
              <w:rPr>
                <w:rFonts w:hint="eastAsia" w:ascii="Times New Roman" w:hAnsi="Times New Roman" w:eastAsia="黑体" w:cs="Times New Roman"/>
                <w:bCs/>
                <w:color w:val="auto"/>
                <w:kern w:val="0"/>
                <w:sz w:val="24"/>
              </w:rPr>
              <w:t>核查内容</w:t>
            </w:r>
          </w:p>
        </w:tc>
        <w:tc>
          <w:tcPr>
            <w:tcW w:w="3420" w:type="dxa"/>
            <w:gridSpan w:val="2"/>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黑体" w:cs="Times New Roman"/>
                <w:bCs/>
                <w:color w:val="auto"/>
                <w:kern w:val="0"/>
                <w:sz w:val="24"/>
              </w:rPr>
            </w:pPr>
            <w:r>
              <w:rPr>
                <w:rFonts w:hint="eastAsia" w:ascii="Times New Roman" w:hAnsi="Times New Roman" w:eastAsia="黑体" w:cs="Times New Roman"/>
                <w:bCs/>
                <w:color w:val="auto"/>
                <w:kern w:val="0"/>
                <w:sz w:val="24"/>
              </w:rPr>
              <w:t>评分标准</w:t>
            </w:r>
          </w:p>
        </w:tc>
        <w:tc>
          <w:tcPr>
            <w:tcW w:w="126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黑体" w:cs="Times New Roman"/>
                <w:bCs/>
                <w:color w:val="auto"/>
                <w:kern w:val="0"/>
                <w:sz w:val="24"/>
              </w:rPr>
            </w:pPr>
            <w:r>
              <w:rPr>
                <w:rFonts w:hint="eastAsia" w:ascii="Times New Roman" w:hAnsi="Times New Roman" w:eastAsia="黑体" w:cs="Times New Roman"/>
                <w:bCs/>
                <w:color w:val="auto"/>
                <w:kern w:val="0"/>
                <w:sz w:val="24"/>
              </w:rPr>
              <w:t>核查得分</w:t>
            </w:r>
          </w:p>
        </w:tc>
        <w:tc>
          <w:tcPr>
            <w:tcW w:w="270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黑体" w:cs="Times New Roman"/>
                <w:bCs/>
                <w:color w:val="auto"/>
                <w:kern w:val="0"/>
                <w:sz w:val="24"/>
              </w:rPr>
            </w:pPr>
            <w:r>
              <w:rPr>
                <w:rFonts w:hint="eastAsia" w:ascii="Times New Roman" w:hAnsi="Times New Roman" w:eastAsia="黑体" w:cs="Times New Roman"/>
                <w:bCs/>
                <w:color w:val="auto"/>
                <w:kern w:val="0"/>
                <w:sz w:val="24"/>
              </w:rPr>
              <w:t>核查记录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trPr>
        <w:tc>
          <w:tcPr>
            <w:tcW w:w="720"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5.1</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采购管理及进货查验记录</w:t>
            </w:r>
          </w:p>
        </w:tc>
        <w:tc>
          <w:tcPr>
            <w:tcW w:w="3960"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应当建立并执行采购管理制度，规定食品原料、食品添加剂、食品相关产品验收标准。采购时，应当查验供货者的许可证和产品合格证明；对无法提供合格证明的食品原料，应当按照食品安全标准及产品执行标准进行检验。</w:t>
            </w:r>
          </w:p>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应当建立并执行进货查验记录制度，记录采购的食品原料、食品添加剂及食品相关产品名称、规格、数量、生产日期或者生产批号、保质期、进货日期以及供货者名称、地址、联系方式等信息，保存相关记录和凭证。</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符合规定要求。</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3</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　</w:t>
            </w:r>
          </w:p>
        </w:tc>
        <w:tc>
          <w:tcPr>
            <w:tcW w:w="2700" w:type="dxa"/>
            <w:vMerge w:val="restart"/>
            <w:tcBorders>
              <w:top w:val="single" w:color="auto" w:sz="4" w:space="0"/>
              <w:left w:val="single" w:color="auto" w:sz="4" w:space="0"/>
              <w:bottom w:val="single" w:color="auto" w:sz="4" w:space="0"/>
              <w:right w:val="single" w:color="auto" w:sz="4" w:space="0"/>
            </w:tcBorders>
          </w:tcPr>
          <w:p>
            <w:pPr>
              <w:widowControl/>
              <w:rPr>
                <w:rFonts w:ascii="Times New Roman" w:hAnsi="Times New Roman" w:eastAsia="仿宋_GB2312"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39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88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制度内容或执行略有不足。</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1</w:t>
            </w: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39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88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制度内容或执行严重不足。</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0</w:t>
            </w: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720"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5.2</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生产过程控制</w:t>
            </w:r>
          </w:p>
        </w:tc>
        <w:tc>
          <w:tcPr>
            <w:tcW w:w="3960"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应当建立并执行生产过程控制制度，制定所需的操作规程或作业指导书，明确原料（如领料、投料、余料管理等）、生产关键环节（如生产工序、设备、贮存、包装等）控制的相关要求，防止交叉污染，并记录产品的加工过程（包括工艺参数、环境监测等）。</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符合规定要求。</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3</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　</w:t>
            </w:r>
          </w:p>
        </w:tc>
        <w:tc>
          <w:tcPr>
            <w:tcW w:w="2700" w:type="dxa"/>
            <w:vMerge w:val="restart"/>
            <w:tcBorders>
              <w:top w:val="single" w:color="auto" w:sz="4" w:space="0"/>
              <w:left w:val="single" w:color="auto" w:sz="4" w:space="0"/>
              <w:bottom w:val="single" w:color="auto" w:sz="4" w:space="0"/>
              <w:right w:val="single" w:color="auto" w:sz="4" w:space="0"/>
            </w:tcBorders>
          </w:tcPr>
          <w:p>
            <w:pPr>
              <w:widowControl/>
              <w:rPr>
                <w:rFonts w:ascii="Times New Roman" w:hAnsi="Times New Roman" w:eastAsia="仿宋_GB2312"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39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88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个别制度内容或执行略有不足。</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1</w:t>
            </w: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39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88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制度内容或执行严重不足。</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0</w:t>
            </w: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trPr>
        <w:tc>
          <w:tcPr>
            <w:tcW w:w="720"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5.3</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检验管理及出厂检验记录</w:t>
            </w:r>
          </w:p>
        </w:tc>
        <w:tc>
          <w:tcPr>
            <w:tcW w:w="3960"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应当建立并执行检验管理制度，规定原料检验、过程检验、产品出厂检验以及产品留样的方式及要求，并保存相关检验和留样记录。委托检验的，应当委托有资质的机构进行检验。</w:t>
            </w:r>
          </w:p>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应当建立并执行产品出厂检验记录制度，规定产品出厂时，查验出厂产品的安全状况和检验合格证，记录产品的名称、规格、数量、生产日期或者生产批号、保质期、销售日期以及购货者名称、地址、联系方式等信息，保存相关记录和凭证。生产复配食品添加剂的，还应当明确规定各种食品添加剂的含量和检验方法。</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符合规定要求。</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3</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　</w:t>
            </w:r>
          </w:p>
        </w:tc>
        <w:tc>
          <w:tcPr>
            <w:tcW w:w="2700" w:type="dxa"/>
            <w:vMerge w:val="restart"/>
            <w:tcBorders>
              <w:top w:val="single" w:color="auto" w:sz="4" w:space="0"/>
              <w:left w:val="single" w:color="auto" w:sz="4" w:space="0"/>
              <w:bottom w:val="single" w:color="auto" w:sz="4" w:space="0"/>
              <w:right w:val="single" w:color="auto" w:sz="4" w:space="0"/>
            </w:tcBorders>
          </w:tcPr>
          <w:p>
            <w:pPr>
              <w:widowControl/>
              <w:rPr>
                <w:rFonts w:ascii="Times New Roman" w:hAnsi="Times New Roman" w:eastAsia="仿宋_GB2312"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39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88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制度内容或执行略有不足。</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1</w:t>
            </w: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39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88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制度内容或执行严重不足。</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0</w:t>
            </w: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720"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5.4</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运输和交付管理</w:t>
            </w:r>
          </w:p>
        </w:tc>
        <w:tc>
          <w:tcPr>
            <w:tcW w:w="3960"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应当建立并执行运输和交付管理制度，规定根据产品特点、贮存要求、运输条件选择适宜的运输方式，并做好交付记录。委托运输的，应当对受托方的食品安全保障能力进行审核。</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符合规定要求。</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3</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　</w:t>
            </w:r>
          </w:p>
        </w:tc>
        <w:tc>
          <w:tcPr>
            <w:tcW w:w="2700" w:type="dxa"/>
            <w:vMerge w:val="restart"/>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39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88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制度内容或执行略有不足。</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1</w:t>
            </w: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39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88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制度内容或执行严重不足。</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0</w:t>
            </w: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720" w:type="dxa"/>
            <w:vMerge w:val="restart"/>
            <w:tcBorders>
              <w:top w:val="single" w:color="auto" w:sz="4" w:space="0"/>
              <w:left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5.5</w:t>
            </w:r>
          </w:p>
        </w:tc>
        <w:tc>
          <w:tcPr>
            <w:tcW w:w="1440" w:type="dxa"/>
            <w:vMerge w:val="restart"/>
            <w:tcBorders>
              <w:top w:val="single" w:color="auto" w:sz="4" w:space="0"/>
              <w:left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食品安全追溯管理</w:t>
            </w:r>
          </w:p>
        </w:tc>
        <w:tc>
          <w:tcPr>
            <w:tcW w:w="3960"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应当建立并执行食品安全追溯管理体系，记录并保存法律、法规及标准等规定的信息，保证产品可追溯。</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符合规定要求。</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3</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　</w:t>
            </w:r>
          </w:p>
        </w:tc>
        <w:tc>
          <w:tcPr>
            <w:tcW w:w="2700" w:type="dxa"/>
            <w:vMerge w:val="restart"/>
            <w:tcBorders>
              <w:top w:val="single" w:color="auto" w:sz="4" w:space="0"/>
              <w:left w:val="single" w:color="auto" w:sz="4" w:space="0"/>
              <w:bottom w:val="single" w:color="auto" w:sz="4" w:space="0"/>
              <w:right w:val="single" w:color="auto" w:sz="4" w:space="0"/>
            </w:tcBorders>
          </w:tcPr>
          <w:p>
            <w:pPr>
              <w:widowControl/>
              <w:rPr>
                <w:rFonts w:ascii="Times New Roman" w:hAnsi="Times New Roman" w:eastAsia="仿宋_GB2312"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720"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1440"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39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88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管理体系或执行略有不足。</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1</w:t>
            </w: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39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88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管理体系或执行严重不足。</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0</w:t>
            </w: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720"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5.6</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食品安全自查</w:t>
            </w:r>
          </w:p>
        </w:tc>
        <w:tc>
          <w:tcPr>
            <w:tcW w:w="3960"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应当建立并执行食品安全自查制度，规定对食品安全状况定期进行检查评价，并根据评价结果采取相应的处理措施。有发生食品安全事故潜在风险的，应当立即停止食品生产活动，并向所在地县级市场监督管理部门报告。</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符合规定要求。</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3</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　</w:t>
            </w:r>
          </w:p>
        </w:tc>
        <w:tc>
          <w:tcPr>
            <w:tcW w:w="2700" w:type="dxa"/>
            <w:vMerge w:val="restart"/>
            <w:tcBorders>
              <w:top w:val="single" w:color="auto" w:sz="4" w:space="0"/>
              <w:left w:val="single" w:color="auto" w:sz="4" w:space="0"/>
              <w:bottom w:val="single" w:color="auto" w:sz="4" w:space="0"/>
              <w:right w:val="single" w:color="auto" w:sz="4" w:space="0"/>
            </w:tcBorders>
          </w:tcPr>
          <w:p>
            <w:pPr>
              <w:widowControl/>
              <w:rPr>
                <w:rFonts w:ascii="Times New Roman" w:hAnsi="Times New Roman" w:eastAsia="仿宋_GB2312"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39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88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制度内容或执行略有不足。</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1</w:t>
            </w: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39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88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制度内容或执行严重不足。</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0</w:t>
            </w: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720" w:type="dxa"/>
            <w:vMerge w:val="restart"/>
            <w:tcBorders>
              <w:top w:val="single" w:color="auto" w:sz="4" w:space="0"/>
              <w:left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5.7</w:t>
            </w:r>
          </w:p>
        </w:tc>
        <w:tc>
          <w:tcPr>
            <w:tcW w:w="1440" w:type="dxa"/>
            <w:vMerge w:val="restart"/>
            <w:tcBorders>
              <w:top w:val="single" w:color="auto" w:sz="4" w:space="0"/>
              <w:left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不合格品管理及不安全食品召回</w:t>
            </w:r>
          </w:p>
        </w:tc>
        <w:tc>
          <w:tcPr>
            <w:tcW w:w="3960" w:type="dxa"/>
            <w:vMerge w:val="restart"/>
            <w:tcBorders>
              <w:top w:val="single" w:color="auto" w:sz="4" w:space="0"/>
              <w:left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应当建立并执行不合格品管理制度，规定原料、半成品、成品及食品相关产品中不合格品的管理要求和处置措施。</w:t>
            </w:r>
          </w:p>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应当建立并执行不安全食品召回制度，规定停止生产、通知相关生产经营者和消费者、召回和处置不安全食品的相关要求，记录召回和通知情况。</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符合规定要求。</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3</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p>
        </w:tc>
        <w:tc>
          <w:tcPr>
            <w:tcW w:w="270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720" w:type="dxa"/>
            <w:vMerge w:val="continue"/>
            <w:tcBorders>
              <w:left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p>
        </w:tc>
        <w:tc>
          <w:tcPr>
            <w:tcW w:w="1440" w:type="dxa"/>
            <w:vMerge w:val="continue"/>
            <w:tcBorders>
              <w:left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p>
        </w:tc>
        <w:tc>
          <w:tcPr>
            <w:tcW w:w="3960" w:type="dxa"/>
            <w:vMerge w:val="continue"/>
            <w:tcBorders>
              <w:left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p>
        </w:tc>
        <w:tc>
          <w:tcPr>
            <w:tcW w:w="288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制度内容或执行略有不足。</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1</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p>
        </w:tc>
        <w:tc>
          <w:tcPr>
            <w:tcW w:w="270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720" w:type="dxa"/>
            <w:vMerge w:val="continue"/>
            <w:tcBorders>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p>
        </w:tc>
        <w:tc>
          <w:tcPr>
            <w:tcW w:w="1440" w:type="dxa"/>
            <w:vMerge w:val="continue"/>
            <w:tcBorders>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p>
        </w:tc>
        <w:tc>
          <w:tcPr>
            <w:tcW w:w="3960" w:type="dxa"/>
            <w:vMerge w:val="continue"/>
            <w:tcBorders>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p>
        </w:tc>
        <w:tc>
          <w:tcPr>
            <w:tcW w:w="288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制度内容或执行严重不足。</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0</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p>
        </w:tc>
        <w:tc>
          <w:tcPr>
            <w:tcW w:w="270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20" w:type="dxa"/>
            <w:vMerge w:val="restart"/>
            <w:tcBorders>
              <w:top w:val="single" w:color="auto" w:sz="4" w:space="0"/>
              <w:left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5.8</w:t>
            </w:r>
          </w:p>
        </w:tc>
        <w:tc>
          <w:tcPr>
            <w:tcW w:w="1440" w:type="dxa"/>
            <w:vMerge w:val="restart"/>
            <w:tcBorders>
              <w:top w:val="single" w:color="auto" w:sz="4" w:space="0"/>
              <w:left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食品安全事故处置</w:t>
            </w:r>
          </w:p>
        </w:tc>
        <w:tc>
          <w:tcPr>
            <w:tcW w:w="3960" w:type="dxa"/>
            <w:vMerge w:val="restart"/>
            <w:tcBorders>
              <w:top w:val="single" w:color="auto" w:sz="4" w:space="0"/>
              <w:left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应当建立食品安全事故处置方案，规定食品安全事故处置措施及向事故</w:t>
            </w:r>
            <w:r>
              <w:rPr>
                <w:rFonts w:ascii="Times New Roman" w:hAnsi="Times New Roman" w:eastAsia="仿宋_GB2312" w:cs="Times New Roman"/>
                <w:color w:val="auto"/>
                <w:kern w:val="0"/>
                <w:sz w:val="24"/>
              </w:rPr>
              <w:t>发生地县级</w:t>
            </w:r>
            <w:r>
              <w:rPr>
                <w:rFonts w:hint="eastAsia" w:ascii="Times New Roman" w:hAnsi="Times New Roman" w:eastAsia="仿宋_GB2312" w:cs="Times New Roman"/>
                <w:color w:val="auto"/>
                <w:kern w:val="0"/>
                <w:sz w:val="24"/>
              </w:rPr>
              <w:t>市场</w:t>
            </w:r>
            <w:r>
              <w:rPr>
                <w:rFonts w:ascii="Times New Roman" w:hAnsi="Times New Roman" w:eastAsia="仿宋_GB2312" w:cs="Times New Roman"/>
                <w:color w:val="auto"/>
                <w:kern w:val="0"/>
                <w:sz w:val="24"/>
              </w:rPr>
              <w:t>监督管理部门</w:t>
            </w:r>
            <w:r>
              <w:rPr>
                <w:rFonts w:hint="eastAsia" w:ascii="Times New Roman" w:hAnsi="Times New Roman" w:eastAsia="仿宋_GB2312" w:cs="Times New Roman"/>
                <w:color w:val="auto"/>
                <w:kern w:val="0"/>
                <w:sz w:val="24"/>
              </w:rPr>
              <w:t>和卫生行政部门报告的要求。</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符合规定要求。</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3</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p>
        </w:tc>
        <w:tc>
          <w:tcPr>
            <w:tcW w:w="270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720" w:type="dxa"/>
            <w:vMerge w:val="continue"/>
            <w:tcBorders>
              <w:left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p>
        </w:tc>
        <w:tc>
          <w:tcPr>
            <w:tcW w:w="1440" w:type="dxa"/>
            <w:vMerge w:val="continue"/>
            <w:tcBorders>
              <w:left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p>
        </w:tc>
        <w:tc>
          <w:tcPr>
            <w:tcW w:w="3960" w:type="dxa"/>
            <w:vMerge w:val="continue"/>
            <w:tcBorders>
              <w:left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p>
        </w:tc>
        <w:tc>
          <w:tcPr>
            <w:tcW w:w="288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方案内容或执行略有不足。</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1</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p>
        </w:tc>
        <w:tc>
          <w:tcPr>
            <w:tcW w:w="270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720" w:type="dxa"/>
            <w:vMerge w:val="continue"/>
            <w:tcBorders>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p>
        </w:tc>
        <w:tc>
          <w:tcPr>
            <w:tcW w:w="1440" w:type="dxa"/>
            <w:vMerge w:val="continue"/>
            <w:tcBorders>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p>
        </w:tc>
        <w:tc>
          <w:tcPr>
            <w:tcW w:w="3960" w:type="dxa"/>
            <w:vMerge w:val="continue"/>
            <w:tcBorders>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p>
        </w:tc>
        <w:tc>
          <w:tcPr>
            <w:tcW w:w="288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方案内容或执行严重不足。</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0</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p>
        </w:tc>
        <w:tc>
          <w:tcPr>
            <w:tcW w:w="270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720"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5.9</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其他</w:t>
            </w:r>
          </w:p>
        </w:tc>
        <w:tc>
          <w:tcPr>
            <w:tcW w:w="3960"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应当按照相关法律法规、食品安全标准以及审查细则规定，建立并执行其他保障食品安全的管理制度。</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符合规定要求。</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3</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　</w:t>
            </w:r>
          </w:p>
        </w:tc>
        <w:tc>
          <w:tcPr>
            <w:tcW w:w="2700" w:type="dxa"/>
            <w:vMerge w:val="restart"/>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39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88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个别制度内容或执行略有不足。</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1</w:t>
            </w: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39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88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制度内容或执行严重不足。</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0</w:t>
            </w: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r>
    </w:tbl>
    <w:p>
      <w:pPr>
        <w:spacing w:before="240" w:beforeLines="100" w:after="120" w:afterLines="50" w:line="400" w:lineRule="exact"/>
        <w:jc w:val="center"/>
        <w:outlineLvl w:val="0"/>
        <w:rPr>
          <w:rFonts w:eastAsia="黑体"/>
          <w:color w:val="auto"/>
          <w:sz w:val="32"/>
          <w:szCs w:val="32"/>
        </w:rPr>
      </w:pPr>
      <w:r>
        <w:rPr>
          <w:rFonts w:hint="eastAsia" w:eastAsia="黑体"/>
          <w:color w:val="auto"/>
          <w:sz w:val="32"/>
          <w:szCs w:val="32"/>
        </w:rPr>
        <w:t>六、试制产品检验合格报告（共</w:t>
      </w:r>
      <w:r>
        <w:rPr>
          <w:rFonts w:eastAsia="黑体"/>
          <w:color w:val="auto"/>
          <w:sz w:val="32"/>
          <w:szCs w:val="32"/>
        </w:rPr>
        <w:t>1</w:t>
      </w:r>
      <w:r>
        <w:rPr>
          <w:rFonts w:hint="eastAsia" w:eastAsia="黑体"/>
          <w:color w:val="auto"/>
          <w:sz w:val="32"/>
          <w:szCs w:val="32"/>
        </w:rPr>
        <w:t>分）</w:t>
      </w:r>
    </w:p>
    <w:tbl>
      <w:tblPr>
        <w:tblStyle w:val="13"/>
        <w:tblW w:w="13467" w:type="dxa"/>
        <w:tblInd w:w="5" w:type="dxa"/>
        <w:tblLayout w:type="autofit"/>
        <w:tblCellMar>
          <w:top w:w="0" w:type="dxa"/>
          <w:left w:w="0" w:type="dxa"/>
          <w:bottom w:w="0" w:type="dxa"/>
          <w:right w:w="0" w:type="dxa"/>
        </w:tblCellMar>
      </w:tblPr>
      <w:tblGrid>
        <w:gridCol w:w="709"/>
        <w:gridCol w:w="1418"/>
        <w:gridCol w:w="3969"/>
        <w:gridCol w:w="2976"/>
        <w:gridCol w:w="426"/>
        <w:gridCol w:w="1275"/>
        <w:gridCol w:w="2694"/>
      </w:tblGrid>
      <w:tr>
        <w:tblPrEx>
          <w:tblCellMar>
            <w:top w:w="0" w:type="dxa"/>
            <w:left w:w="0" w:type="dxa"/>
            <w:bottom w:w="0" w:type="dxa"/>
            <w:right w:w="0" w:type="dxa"/>
          </w:tblCellMar>
        </w:tblPrEx>
        <w:trPr>
          <w:cantSplit/>
          <w:trHeight w:val="20"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黑体" w:cs="Times New Roman"/>
                <w:bCs/>
                <w:color w:val="auto"/>
                <w:kern w:val="0"/>
                <w:sz w:val="24"/>
              </w:rPr>
            </w:pPr>
            <w:r>
              <w:rPr>
                <w:rFonts w:hint="eastAsia" w:ascii="Times New Roman" w:hAnsi="Times New Roman" w:eastAsia="黑体" w:cs="Times New Roman"/>
                <w:bCs/>
                <w:color w:val="auto"/>
                <w:kern w:val="0"/>
                <w:sz w:val="24"/>
              </w:rPr>
              <w:t>序号</w:t>
            </w:r>
          </w:p>
        </w:tc>
        <w:tc>
          <w:tcPr>
            <w:tcW w:w="141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黑体" w:cs="Times New Roman"/>
                <w:bCs/>
                <w:color w:val="auto"/>
                <w:kern w:val="0"/>
                <w:sz w:val="24"/>
              </w:rPr>
            </w:pPr>
            <w:r>
              <w:rPr>
                <w:rFonts w:hint="eastAsia" w:ascii="Times New Roman" w:hAnsi="Times New Roman" w:eastAsia="黑体" w:cs="Times New Roman"/>
                <w:bCs/>
                <w:color w:val="auto"/>
                <w:kern w:val="0"/>
                <w:sz w:val="24"/>
              </w:rPr>
              <w:t>核查项目</w:t>
            </w:r>
          </w:p>
        </w:tc>
        <w:tc>
          <w:tcPr>
            <w:tcW w:w="396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黑体" w:cs="Times New Roman"/>
                <w:bCs/>
                <w:color w:val="auto"/>
                <w:kern w:val="0"/>
                <w:sz w:val="24"/>
              </w:rPr>
            </w:pPr>
            <w:r>
              <w:rPr>
                <w:rFonts w:hint="eastAsia" w:ascii="Times New Roman" w:hAnsi="Times New Roman" w:eastAsia="黑体" w:cs="Times New Roman"/>
                <w:bCs/>
                <w:color w:val="auto"/>
                <w:kern w:val="0"/>
                <w:sz w:val="24"/>
              </w:rPr>
              <w:t>核查内容</w:t>
            </w:r>
          </w:p>
        </w:tc>
        <w:tc>
          <w:tcPr>
            <w:tcW w:w="3402"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黑体" w:cs="Times New Roman"/>
                <w:bCs/>
                <w:color w:val="auto"/>
                <w:kern w:val="0"/>
                <w:sz w:val="24"/>
              </w:rPr>
            </w:pPr>
            <w:r>
              <w:rPr>
                <w:rFonts w:hint="eastAsia" w:ascii="Times New Roman" w:hAnsi="Times New Roman" w:eastAsia="黑体" w:cs="Times New Roman"/>
                <w:bCs/>
                <w:color w:val="auto"/>
                <w:kern w:val="0"/>
                <w:sz w:val="24"/>
              </w:rPr>
              <w:t>评分标准</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黑体" w:cs="Times New Roman"/>
                <w:bCs/>
                <w:color w:val="auto"/>
                <w:kern w:val="0"/>
                <w:sz w:val="24"/>
              </w:rPr>
            </w:pPr>
            <w:r>
              <w:rPr>
                <w:rFonts w:hint="eastAsia" w:ascii="Times New Roman" w:hAnsi="Times New Roman" w:eastAsia="黑体" w:cs="Times New Roman"/>
                <w:bCs/>
                <w:color w:val="auto"/>
                <w:kern w:val="0"/>
                <w:sz w:val="24"/>
              </w:rPr>
              <w:t>核查得分</w:t>
            </w:r>
          </w:p>
        </w:tc>
        <w:tc>
          <w:tcPr>
            <w:tcW w:w="2694"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黑体" w:cs="Times New Roman"/>
                <w:bCs/>
                <w:color w:val="auto"/>
                <w:kern w:val="0"/>
                <w:sz w:val="24"/>
              </w:rPr>
            </w:pPr>
            <w:r>
              <w:rPr>
                <w:rFonts w:hint="eastAsia" w:ascii="Times New Roman" w:hAnsi="Times New Roman" w:eastAsia="黑体" w:cs="Times New Roman"/>
                <w:bCs/>
                <w:color w:val="auto"/>
                <w:kern w:val="0"/>
                <w:sz w:val="24"/>
              </w:rPr>
              <w:t>核查记录</w:t>
            </w:r>
          </w:p>
        </w:tc>
      </w:tr>
      <w:tr>
        <w:tblPrEx>
          <w:tblCellMar>
            <w:top w:w="0" w:type="dxa"/>
            <w:left w:w="0" w:type="dxa"/>
            <w:bottom w:w="0" w:type="dxa"/>
            <w:right w:w="0" w:type="dxa"/>
          </w:tblCellMar>
        </w:tblPrEx>
        <w:trPr>
          <w:cantSplit/>
          <w:trHeight w:val="574" w:hRule="atLeast"/>
        </w:trPr>
        <w:tc>
          <w:tcPr>
            <w:tcW w:w="709"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6.1</w:t>
            </w:r>
          </w:p>
        </w:tc>
        <w:tc>
          <w:tcPr>
            <w:tcW w:w="1418"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试制产品检验合格报告</w:t>
            </w:r>
          </w:p>
        </w:tc>
        <w:tc>
          <w:tcPr>
            <w:tcW w:w="3969" w:type="dxa"/>
            <w:vMerge w:val="restart"/>
            <w:tcBorders>
              <w:top w:val="nil"/>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spacing w:val="4"/>
                <w:kern w:val="0"/>
                <w:sz w:val="24"/>
              </w:rPr>
              <w:t>应当提交符合产品执行的食品安全标准、产品标准、审查细则和国务院卫生行政部门相关公告的试制产品检验合格报告。</w:t>
            </w:r>
          </w:p>
        </w:tc>
        <w:tc>
          <w:tcPr>
            <w:tcW w:w="2976" w:type="dxa"/>
            <w:tcBorders>
              <w:top w:val="nil"/>
              <w:left w:val="nil"/>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符合规定要求。</w:t>
            </w:r>
          </w:p>
        </w:tc>
        <w:tc>
          <w:tcPr>
            <w:tcW w:w="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1</w:t>
            </w:r>
          </w:p>
        </w:tc>
        <w:tc>
          <w:tcPr>
            <w:tcW w:w="1275" w:type="dxa"/>
            <w:vMerge w:val="restart"/>
            <w:tcBorders>
              <w:top w:val="nil"/>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　</w:t>
            </w:r>
          </w:p>
        </w:tc>
        <w:tc>
          <w:tcPr>
            <w:tcW w:w="2694" w:type="dxa"/>
            <w:vMerge w:val="restart"/>
            <w:tcBorders>
              <w:top w:val="nil"/>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p>
        </w:tc>
      </w:tr>
      <w:tr>
        <w:tblPrEx>
          <w:tblCellMar>
            <w:top w:w="0" w:type="dxa"/>
            <w:left w:w="0" w:type="dxa"/>
            <w:bottom w:w="0" w:type="dxa"/>
            <w:right w:w="0" w:type="dxa"/>
          </w:tblCellMar>
        </w:tblPrEx>
        <w:trPr>
          <w:cantSplit/>
          <w:trHeight w:val="836"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976" w:type="dxa"/>
            <w:tcBorders>
              <w:top w:val="nil"/>
              <w:left w:val="nil"/>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非食品安全标准规定的检验项目不全。</w:t>
            </w:r>
          </w:p>
        </w:tc>
        <w:tc>
          <w:tcPr>
            <w:tcW w:w="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0.5</w:t>
            </w: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r>
      <w:tr>
        <w:tblPrEx>
          <w:tblCellMar>
            <w:top w:w="0" w:type="dxa"/>
            <w:left w:w="0" w:type="dxa"/>
            <w:bottom w:w="0" w:type="dxa"/>
            <w:right w:w="0" w:type="dxa"/>
          </w:tblCellMar>
        </w:tblPrEx>
        <w:trPr>
          <w:cantSplit/>
          <w:trHeight w:val="1118"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2976" w:type="dxa"/>
            <w:tcBorders>
              <w:top w:val="nil"/>
              <w:left w:val="nil"/>
              <w:bottom w:val="single" w:color="auto" w:sz="4" w:space="0"/>
              <w:right w:val="single" w:color="auto" w:sz="4" w:space="0"/>
            </w:tcBorders>
            <w:vAlign w:val="center"/>
          </w:tcPr>
          <w:p>
            <w:pPr>
              <w:widowControl/>
              <w:rPr>
                <w:rFonts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rPr>
              <w:t>无检验合格报告，或者食品安全标准规定的检验项目不全。</w:t>
            </w:r>
          </w:p>
        </w:tc>
        <w:tc>
          <w:tcPr>
            <w:tcW w:w="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0</w:t>
            </w: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 w:val="24"/>
              </w:rPr>
            </w:pPr>
          </w:p>
        </w:tc>
      </w:tr>
    </w:tbl>
    <w:p>
      <w:pPr>
        <w:spacing w:line="600" w:lineRule="exact"/>
        <w:outlineLvl w:val="0"/>
        <w:rPr>
          <w:color w:val="auto"/>
        </w:rPr>
      </w:pPr>
    </w:p>
    <w:p>
      <w:pPr>
        <w:shd w:val="clear" w:color="auto" w:fill="FFFFFF" w:themeFill="background1"/>
        <w:spacing w:line="600" w:lineRule="exact"/>
        <w:ind w:firstLine="640" w:firstLineChars="200"/>
        <w:rPr>
          <w:rFonts w:ascii="方正仿宋简体" w:eastAsia="方正仿宋简体"/>
          <w:color w:val="auto"/>
          <w:sz w:val="32"/>
          <w:szCs w:val="32"/>
        </w:rPr>
        <w:sectPr>
          <w:pgSz w:w="16838" w:h="11906" w:orient="landscape"/>
          <w:pgMar w:top="1701" w:right="1701" w:bottom="1701" w:left="1701" w:header="1134" w:footer="1134" w:gutter="0"/>
          <w:pgNumType w:fmt="numberInDash"/>
          <w:cols w:space="720" w:num="1"/>
          <w:docGrid w:linePitch="286" w:charSpace="0"/>
        </w:sectPr>
      </w:pPr>
    </w:p>
    <w:p>
      <w:pPr>
        <w:spacing w:line="600" w:lineRule="exact"/>
        <w:outlineLvl w:val="0"/>
        <w:rPr>
          <w:rFonts w:ascii="黑体" w:hAnsi="黑体" w:eastAsia="黑体"/>
          <w:color w:val="auto"/>
          <w:sz w:val="32"/>
          <w:szCs w:val="32"/>
        </w:rPr>
      </w:pPr>
      <w:r>
        <w:rPr>
          <w:rFonts w:hint="eastAsia" w:ascii="黑体" w:hAnsi="黑体" w:eastAsia="黑体"/>
          <w:color w:val="auto"/>
          <w:sz w:val="32"/>
          <w:szCs w:val="32"/>
        </w:rPr>
        <w:t>附件3</w:t>
      </w:r>
    </w:p>
    <w:p>
      <w:pPr>
        <w:spacing w:line="600" w:lineRule="exact"/>
        <w:outlineLvl w:val="0"/>
        <w:rPr>
          <w:rFonts w:ascii="黑体" w:hAnsi="黑体" w:eastAsia="黑体"/>
          <w:color w:val="auto"/>
          <w:sz w:val="32"/>
          <w:szCs w:val="32"/>
        </w:rPr>
      </w:pPr>
    </w:p>
    <w:p>
      <w:pPr>
        <w:spacing w:line="440" w:lineRule="exact"/>
        <w:jc w:val="center"/>
        <w:rPr>
          <w:rFonts w:ascii="方正小标宋简体" w:eastAsia="方正小标宋简体" w:cs="方正小标宋简体"/>
          <w:color w:val="auto"/>
          <w:sz w:val="44"/>
          <w:szCs w:val="44"/>
        </w:rPr>
      </w:pPr>
      <w:r>
        <w:rPr>
          <w:rFonts w:hint="eastAsia" w:ascii="方正小标宋简体" w:eastAsia="方正小标宋简体" w:cs="方正小标宋简体"/>
          <w:color w:val="auto"/>
          <w:sz w:val="44"/>
          <w:szCs w:val="44"/>
        </w:rPr>
        <w:t>食品、食品添加剂生产许可现场核查报告</w:t>
      </w:r>
    </w:p>
    <w:p>
      <w:pPr>
        <w:spacing w:line="460" w:lineRule="exact"/>
        <w:jc w:val="center"/>
        <w:rPr>
          <w:rFonts w:ascii="方正仿宋简体" w:hAnsi="宋体" w:eastAsia="方正仿宋简体"/>
          <w:color w:val="auto"/>
          <w:sz w:val="24"/>
        </w:rPr>
      </w:pPr>
    </w:p>
    <w:p>
      <w:pPr>
        <w:spacing w:line="460" w:lineRule="exact"/>
        <w:ind w:firstLine="480" w:firstLineChars="200"/>
        <w:rPr>
          <w:rFonts w:ascii="仿宋_GB2312" w:hAnsi="宋体" w:eastAsia="仿宋_GB2312"/>
          <w:color w:val="auto"/>
          <w:sz w:val="24"/>
          <w:u w:val="single"/>
        </w:rPr>
      </w:pPr>
      <w:r>
        <w:rPr>
          <w:rFonts w:hint="eastAsia" w:ascii="仿宋_GB2312" w:hAnsi="宋体" w:eastAsia="仿宋_GB2312"/>
          <w:color w:val="auto"/>
          <w:sz w:val="24"/>
        </w:rPr>
        <w:t>根据《食品生产许可审查通则》及</w:t>
      </w:r>
      <w:r>
        <w:rPr>
          <w:rFonts w:hint="eastAsia" w:ascii="仿宋_GB2312" w:hAnsi="宋体" w:eastAsia="仿宋_GB2312"/>
          <w:color w:val="auto"/>
          <w:sz w:val="24"/>
          <w:u w:val="single"/>
        </w:rPr>
        <w:t xml:space="preserve">             、                  、  </w:t>
      </w:r>
    </w:p>
    <w:p>
      <w:pPr>
        <w:spacing w:line="460" w:lineRule="exact"/>
        <w:rPr>
          <w:rFonts w:ascii="仿宋_GB2312" w:hAnsi="宋体" w:eastAsia="仿宋_GB2312"/>
          <w:color w:val="auto"/>
          <w:sz w:val="24"/>
        </w:rPr>
      </w:pPr>
      <w:r>
        <w:rPr>
          <w:rFonts w:hint="eastAsia" w:ascii="仿宋_GB2312" w:hAnsi="宋体" w:eastAsia="仿宋_GB2312"/>
          <w:color w:val="auto"/>
          <w:sz w:val="24"/>
          <w:u w:val="single"/>
        </w:rPr>
        <w:t xml:space="preserve">           </w:t>
      </w:r>
      <w:r>
        <w:rPr>
          <w:rFonts w:hint="eastAsia" w:ascii="仿宋_GB2312" w:hAnsi="宋体" w:eastAsia="仿宋_GB2312"/>
          <w:color w:val="auto"/>
          <w:sz w:val="24"/>
        </w:rPr>
        <w:t>生产许可审查细则，核查组于</w:t>
      </w:r>
      <w:r>
        <w:rPr>
          <w:rFonts w:hint="eastAsia" w:ascii="仿宋_GB2312" w:hAnsi="宋体" w:eastAsia="仿宋_GB2312"/>
          <w:color w:val="auto"/>
          <w:sz w:val="24"/>
          <w:u w:val="single"/>
        </w:rPr>
        <w:t xml:space="preserve">  </w:t>
      </w:r>
      <w:r>
        <w:rPr>
          <w:rFonts w:ascii="仿宋_GB2312" w:hAnsi="宋体" w:eastAsia="仿宋_GB2312"/>
          <w:color w:val="auto"/>
          <w:sz w:val="24"/>
          <w:u w:val="single"/>
        </w:rPr>
        <w:t xml:space="preserve">  </w:t>
      </w:r>
      <w:r>
        <w:rPr>
          <w:rFonts w:hint="eastAsia" w:ascii="仿宋_GB2312" w:hAnsi="宋体" w:eastAsia="仿宋_GB2312"/>
          <w:color w:val="auto"/>
          <w:sz w:val="24"/>
        </w:rPr>
        <w:t>年</w:t>
      </w:r>
      <w:r>
        <w:rPr>
          <w:rFonts w:hint="eastAsia" w:ascii="仿宋_GB2312" w:hAnsi="宋体" w:eastAsia="仿宋_GB2312"/>
          <w:color w:val="auto"/>
          <w:sz w:val="24"/>
          <w:u w:val="single"/>
        </w:rPr>
        <w:t xml:space="preserve"> </w:t>
      </w:r>
      <w:r>
        <w:rPr>
          <w:rFonts w:ascii="仿宋_GB2312" w:hAnsi="宋体" w:eastAsia="仿宋_GB2312"/>
          <w:color w:val="auto"/>
          <w:sz w:val="24"/>
          <w:u w:val="single"/>
        </w:rPr>
        <w:t xml:space="preserve"> </w:t>
      </w:r>
      <w:r>
        <w:rPr>
          <w:rFonts w:hint="eastAsia" w:ascii="仿宋_GB2312" w:hAnsi="宋体" w:eastAsia="仿宋_GB2312"/>
          <w:color w:val="auto"/>
          <w:sz w:val="24"/>
          <w:u w:val="single"/>
        </w:rPr>
        <w:t xml:space="preserve"> </w:t>
      </w:r>
      <w:r>
        <w:rPr>
          <w:rFonts w:hint="eastAsia" w:ascii="仿宋_GB2312" w:hAnsi="宋体" w:eastAsia="仿宋_GB2312"/>
          <w:color w:val="auto"/>
          <w:sz w:val="24"/>
        </w:rPr>
        <w:t>月</w:t>
      </w:r>
      <w:r>
        <w:rPr>
          <w:rFonts w:hint="eastAsia" w:ascii="仿宋_GB2312" w:hAnsi="宋体" w:eastAsia="仿宋_GB2312"/>
          <w:color w:val="auto"/>
          <w:sz w:val="24"/>
          <w:u w:val="single"/>
        </w:rPr>
        <w:t xml:space="preserve">  </w:t>
      </w:r>
      <w:r>
        <w:rPr>
          <w:rFonts w:ascii="仿宋_GB2312" w:hAnsi="宋体" w:eastAsia="仿宋_GB2312"/>
          <w:color w:val="auto"/>
          <w:sz w:val="24"/>
          <w:u w:val="single"/>
        </w:rPr>
        <w:t xml:space="preserve"> </w:t>
      </w:r>
      <w:r>
        <w:rPr>
          <w:rFonts w:hint="eastAsia" w:ascii="仿宋_GB2312" w:hAnsi="宋体" w:eastAsia="仿宋_GB2312"/>
          <w:color w:val="auto"/>
          <w:sz w:val="24"/>
        </w:rPr>
        <w:t>日至</w:t>
      </w:r>
      <w:r>
        <w:rPr>
          <w:rFonts w:hint="eastAsia" w:ascii="仿宋_GB2312" w:hAnsi="宋体" w:eastAsia="仿宋_GB2312"/>
          <w:color w:val="auto"/>
          <w:sz w:val="24"/>
          <w:u w:val="single"/>
        </w:rPr>
        <w:t xml:space="preserve"> </w:t>
      </w:r>
      <w:r>
        <w:rPr>
          <w:rFonts w:ascii="仿宋_GB2312" w:hAnsi="宋体" w:eastAsia="仿宋_GB2312"/>
          <w:color w:val="auto"/>
          <w:sz w:val="24"/>
          <w:u w:val="single"/>
        </w:rPr>
        <w:t xml:space="preserve">  </w:t>
      </w:r>
      <w:r>
        <w:rPr>
          <w:rFonts w:hint="eastAsia" w:ascii="仿宋_GB2312" w:hAnsi="宋体" w:eastAsia="仿宋_GB2312"/>
          <w:color w:val="auto"/>
          <w:sz w:val="24"/>
          <w:u w:val="single"/>
        </w:rPr>
        <w:t xml:space="preserve"> </w:t>
      </w:r>
      <w:r>
        <w:rPr>
          <w:rFonts w:hint="eastAsia" w:ascii="仿宋_GB2312" w:hAnsi="宋体" w:eastAsia="仿宋_GB2312"/>
          <w:color w:val="auto"/>
          <w:sz w:val="24"/>
        </w:rPr>
        <w:t>年</w:t>
      </w:r>
      <w:r>
        <w:rPr>
          <w:rFonts w:hint="eastAsia" w:ascii="仿宋_GB2312" w:hAnsi="宋体" w:eastAsia="仿宋_GB2312"/>
          <w:color w:val="auto"/>
          <w:sz w:val="24"/>
          <w:u w:val="single"/>
        </w:rPr>
        <w:t xml:space="preserve"> </w:t>
      </w:r>
      <w:r>
        <w:rPr>
          <w:rFonts w:ascii="仿宋_GB2312" w:hAnsi="宋体" w:eastAsia="仿宋_GB2312"/>
          <w:color w:val="auto"/>
          <w:sz w:val="24"/>
          <w:u w:val="single"/>
        </w:rPr>
        <w:t xml:space="preserve"> </w:t>
      </w:r>
      <w:r>
        <w:rPr>
          <w:rFonts w:hint="eastAsia" w:ascii="仿宋_GB2312" w:hAnsi="宋体" w:eastAsia="仿宋_GB2312"/>
          <w:color w:val="auto"/>
          <w:sz w:val="24"/>
          <w:u w:val="single"/>
        </w:rPr>
        <w:t xml:space="preserve"> </w:t>
      </w:r>
      <w:r>
        <w:rPr>
          <w:rFonts w:hint="eastAsia" w:ascii="仿宋_GB2312" w:hAnsi="宋体" w:eastAsia="仿宋_GB2312"/>
          <w:color w:val="auto"/>
          <w:sz w:val="24"/>
        </w:rPr>
        <w:t>月</w:t>
      </w:r>
      <w:r>
        <w:rPr>
          <w:rFonts w:hint="eastAsia" w:ascii="仿宋_GB2312" w:hAnsi="宋体" w:eastAsia="仿宋_GB2312"/>
          <w:color w:val="auto"/>
          <w:sz w:val="24"/>
          <w:u w:val="single"/>
        </w:rPr>
        <w:t xml:space="preserve"> </w:t>
      </w:r>
      <w:r>
        <w:rPr>
          <w:rFonts w:ascii="仿宋_GB2312" w:hAnsi="宋体" w:eastAsia="仿宋_GB2312"/>
          <w:color w:val="auto"/>
          <w:sz w:val="24"/>
          <w:u w:val="single"/>
        </w:rPr>
        <w:t xml:space="preserve"> </w:t>
      </w:r>
      <w:r>
        <w:rPr>
          <w:rFonts w:hint="eastAsia" w:ascii="仿宋_GB2312" w:hAnsi="宋体" w:eastAsia="仿宋_GB2312"/>
          <w:color w:val="auto"/>
          <w:sz w:val="24"/>
          <w:u w:val="single"/>
        </w:rPr>
        <w:t xml:space="preserve"> </w:t>
      </w:r>
      <w:r>
        <w:rPr>
          <w:rFonts w:hint="eastAsia" w:ascii="仿宋_GB2312" w:hAnsi="宋体" w:eastAsia="仿宋_GB2312"/>
          <w:color w:val="auto"/>
          <w:sz w:val="24"/>
        </w:rPr>
        <w:t>日对</w:t>
      </w:r>
      <w:r>
        <w:rPr>
          <w:rFonts w:hint="eastAsia" w:ascii="仿宋_GB2312" w:hAnsi="宋体" w:eastAsia="仿宋_GB2312"/>
          <w:color w:val="auto"/>
          <w:sz w:val="24"/>
          <w:u w:val="single"/>
        </w:rPr>
        <w:t xml:space="preserve">（申请人名称）                            </w:t>
      </w:r>
      <w:r>
        <w:rPr>
          <w:rFonts w:hint="eastAsia" w:ascii="仿宋_GB2312" w:hAnsi="宋体" w:eastAsia="仿宋_GB2312"/>
          <w:color w:val="auto"/>
          <w:sz w:val="24"/>
        </w:rPr>
        <w:t>进行了现场核查，结果如下：</w:t>
      </w:r>
    </w:p>
    <w:p>
      <w:pPr>
        <w:spacing w:line="460" w:lineRule="exact"/>
        <w:ind w:firstLine="480" w:firstLineChars="200"/>
        <w:rPr>
          <w:rFonts w:ascii="黑体" w:hAnsi="黑体" w:eastAsia="黑体"/>
          <w:color w:val="auto"/>
          <w:sz w:val="24"/>
        </w:rPr>
      </w:pPr>
      <w:r>
        <w:rPr>
          <w:rFonts w:hint="eastAsia" w:ascii="黑体" w:hAnsi="黑体" w:eastAsia="黑体"/>
          <w:color w:val="auto"/>
          <w:sz w:val="24"/>
        </w:rPr>
        <w:t>一、现场核查结论</w:t>
      </w:r>
    </w:p>
    <w:p>
      <w:pPr>
        <w:spacing w:line="460" w:lineRule="exact"/>
        <w:ind w:firstLine="480" w:firstLineChars="200"/>
        <w:rPr>
          <w:rFonts w:ascii="楷体_GB2312" w:hAnsi="宋体" w:eastAsia="楷体_GB2312"/>
          <w:bCs/>
          <w:color w:val="auto"/>
          <w:sz w:val="24"/>
        </w:rPr>
      </w:pPr>
      <w:r>
        <w:rPr>
          <w:rFonts w:hint="eastAsia" w:ascii="楷体_GB2312" w:hAnsi="宋体" w:eastAsia="楷体_GB2312"/>
          <w:bCs/>
          <w:color w:val="auto"/>
          <w:sz w:val="24"/>
        </w:rPr>
        <w:t>（一）现场核查正常开展，经综合评价，本次现场核查的结论是：</w:t>
      </w:r>
    </w:p>
    <w:tbl>
      <w:tblPr>
        <w:tblStyle w:val="13"/>
        <w:tblW w:w="861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6"/>
        <w:gridCol w:w="1562"/>
        <w:gridCol w:w="709"/>
        <w:gridCol w:w="2783"/>
        <w:gridCol w:w="1620"/>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仿宋_GB2312"/>
                <w:color w:val="auto"/>
                <w:sz w:val="24"/>
              </w:rPr>
            </w:pPr>
            <w:r>
              <w:rPr>
                <w:rFonts w:hint="eastAsia" w:eastAsia="仿宋_GB2312"/>
                <w:color w:val="auto"/>
                <w:sz w:val="24"/>
              </w:rPr>
              <w:t>序号</w:t>
            </w:r>
          </w:p>
        </w:tc>
        <w:tc>
          <w:tcPr>
            <w:tcW w:w="15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仿宋_GB2312"/>
                <w:color w:val="auto"/>
                <w:sz w:val="24"/>
              </w:rPr>
            </w:pPr>
            <w:r>
              <w:rPr>
                <w:rFonts w:hint="eastAsia" w:eastAsia="仿宋_GB2312"/>
                <w:color w:val="auto"/>
                <w:sz w:val="24"/>
              </w:rPr>
              <w:t>食品、食品添加剂类别</w:t>
            </w:r>
          </w:p>
        </w:tc>
        <w:tc>
          <w:tcPr>
            <w:tcW w:w="7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仿宋_GB2312"/>
                <w:color w:val="auto"/>
                <w:sz w:val="24"/>
              </w:rPr>
            </w:pPr>
            <w:r>
              <w:rPr>
                <w:rFonts w:hint="eastAsia" w:eastAsia="仿宋_GB2312"/>
                <w:color w:val="auto"/>
                <w:sz w:val="24"/>
              </w:rPr>
              <w:t>类别名称</w:t>
            </w:r>
          </w:p>
        </w:tc>
        <w:tc>
          <w:tcPr>
            <w:tcW w:w="278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仿宋_GB2312"/>
                <w:color w:val="auto"/>
                <w:sz w:val="24"/>
              </w:rPr>
            </w:pPr>
            <w:r>
              <w:rPr>
                <w:rFonts w:hint="eastAsia" w:eastAsia="仿宋_GB2312"/>
                <w:color w:val="auto"/>
                <w:sz w:val="24"/>
              </w:rPr>
              <w:t>品种明细</w:t>
            </w:r>
          </w:p>
        </w:tc>
        <w:tc>
          <w:tcPr>
            <w:tcW w:w="16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仿宋_GB2312"/>
                <w:color w:val="auto"/>
                <w:sz w:val="24"/>
              </w:rPr>
            </w:pPr>
            <w:r>
              <w:rPr>
                <w:rFonts w:hint="eastAsia" w:eastAsia="仿宋_GB2312"/>
                <w:color w:val="auto"/>
                <w:sz w:val="24"/>
              </w:rPr>
              <w:t>执行标准及标准编号</w:t>
            </w:r>
          </w:p>
        </w:tc>
        <w:tc>
          <w:tcPr>
            <w:tcW w:w="123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仿宋_GB2312"/>
                <w:color w:val="auto"/>
                <w:sz w:val="24"/>
              </w:rPr>
            </w:pPr>
            <w:r>
              <w:rPr>
                <w:rFonts w:hint="eastAsia" w:eastAsia="仿宋_GB2312"/>
                <w:color w:val="auto"/>
                <w:sz w:val="24"/>
              </w:rPr>
              <w:t>核查结论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6" w:type="dxa"/>
            <w:tcBorders>
              <w:top w:val="single" w:color="auto" w:sz="4" w:space="0"/>
              <w:left w:val="single" w:color="auto" w:sz="4" w:space="0"/>
              <w:bottom w:val="single" w:color="auto" w:sz="4" w:space="0"/>
              <w:right w:val="single" w:color="auto" w:sz="4" w:space="0"/>
            </w:tcBorders>
          </w:tcPr>
          <w:p>
            <w:pPr>
              <w:spacing w:line="440" w:lineRule="exact"/>
              <w:jc w:val="center"/>
              <w:rPr>
                <w:rFonts w:eastAsia="仿宋_GB2312"/>
                <w:color w:val="auto"/>
                <w:sz w:val="24"/>
              </w:rPr>
            </w:pPr>
            <w:r>
              <w:rPr>
                <w:rFonts w:eastAsia="仿宋_GB2312"/>
                <w:color w:val="auto"/>
                <w:sz w:val="24"/>
              </w:rPr>
              <w:t>1</w:t>
            </w:r>
          </w:p>
        </w:tc>
        <w:tc>
          <w:tcPr>
            <w:tcW w:w="1562" w:type="dxa"/>
            <w:tcBorders>
              <w:top w:val="single" w:color="auto" w:sz="4" w:space="0"/>
              <w:left w:val="single" w:color="auto" w:sz="4" w:space="0"/>
              <w:bottom w:val="single" w:color="auto" w:sz="4" w:space="0"/>
              <w:right w:val="single" w:color="auto" w:sz="4" w:space="0"/>
            </w:tcBorders>
          </w:tcPr>
          <w:p>
            <w:pPr>
              <w:spacing w:line="440" w:lineRule="exact"/>
              <w:rPr>
                <w:rFonts w:eastAsia="仿宋_GB2312"/>
                <w:color w:val="auto"/>
                <w:sz w:val="24"/>
              </w:rPr>
            </w:pPr>
          </w:p>
        </w:tc>
        <w:tc>
          <w:tcPr>
            <w:tcW w:w="709" w:type="dxa"/>
            <w:tcBorders>
              <w:top w:val="single" w:color="auto" w:sz="4" w:space="0"/>
              <w:left w:val="single" w:color="auto" w:sz="4" w:space="0"/>
              <w:bottom w:val="single" w:color="auto" w:sz="4" w:space="0"/>
              <w:right w:val="single" w:color="auto" w:sz="4" w:space="0"/>
            </w:tcBorders>
          </w:tcPr>
          <w:p>
            <w:pPr>
              <w:spacing w:line="440" w:lineRule="exact"/>
              <w:rPr>
                <w:rFonts w:eastAsia="仿宋_GB2312"/>
                <w:color w:val="auto"/>
                <w:sz w:val="24"/>
              </w:rPr>
            </w:pPr>
          </w:p>
        </w:tc>
        <w:tc>
          <w:tcPr>
            <w:tcW w:w="2783" w:type="dxa"/>
            <w:tcBorders>
              <w:top w:val="single" w:color="auto" w:sz="4" w:space="0"/>
              <w:left w:val="single" w:color="auto" w:sz="4" w:space="0"/>
              <w:bottom w:val="single" w:color="auto" w:sz="4" w:space="0"/>
              <w:right w:val="single" w:color="auto" w:sz="4" w:space="0"/>
            </w:tcBorders>
          </w:tcPr>
          <w:p>
            <w:pPr>
              <w:spacing w:line="440" w:lineRule="exact"/>
              <w:rPr>
                <w:rFonts w:eastAsia="仿宋_GB2312"/>
                <w:color w:val="auto"/>
                <w:sz w:val="24"/>
              </w:rPr>
            </w:pPr>
          </w:p>
        </w:tc>
        <w:tc>
          <w:tcPr>
            <w:tcW w:w="1620" w:type="dxa"/>
            <w:tcBorders>
              <w:top w:val="single" w:color="auto" w:sz="4" w:space="0"/>
              <w:left w:val="single" w:color="auto" w:sz="4" w:space="0"/>
              <w:bottom w:val="single" w:color="auto" w:sz="4" w:space="0"/>
              <w:right w:val="single" w:color="auto" w:sz="4" w:space="0"/>
            </w:tcBorders>
          </w:tcPr>
          <w:p>
            <w:pPr>
              <w:spacing w:line="440" w:lineRule="exact"/>
              <w:rPr>
                <w:rFonts w:eastAsia="仿宋_GB2312"/>
                <w:color w:val="auto"/>
                <w:sz w:val="24"/>
              </w:rPr>
            </w:pPr>
          </w:p>
        </w:tc>
        <w:tc>
          <w:tcPr>
            <w:tcW w:w="1232" w:type="dxa"/>
            <w:tcBorders>
              <w:top w:val="single" w:color="auto" w:sz="4" w:space="0"/>
              <w:left w:val="single" w:color="auto" w:sz="4" w:space="0"/>
              <w:bottom w:val="single" w:color="auto" w:sz="4" w:space="0"/>
              <w:right w:val="single" w:color="auto" w:sz="4" w:space="0"/>
            </w:tcBorders>
          </w:tcPr>
          <w:p>
            <w:pPr>
              <w:spacing w:line="440" w:lineRule="exact"/>
              <w:rPr>
                <w:rFonts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6" w:type="dxa"/>
            <w:tcBorders>
              <w:top w:val="single" w:color="auto" w:sz="4" w:space="0"/>
              <w:left w:val="single" w:color="auto" w:sz="4" w:space="0"/>
              <w:bottom w:val="single" w:color="auto" w:sz="4" w:space="0"/>
              <w:right w:val="single" w:color="auto" w:sz="4" w:space="0"/>
            </w:tcBorders>
          </w:tcPr>
          <w:p>
            <w:pPr>
              <w:spacing w:line="440" w:lineRule="exact"/>
              <w:jc w:val="center"/>
              <w:rPr>
                <w:rFonts w:eastAsia="仿宋_GB2312"/>
                <w:color w:val="auto"/>
                <w:sz w:val="24"/>
              </w:rPr>
            </w:pPr>
            <w:r>
              <w:rPr>
                <w:rFonts w:eastAsia="仿宋_GB2312"/>
                <w:color w:val="auto"/>
                <w:sz w:val="24"/>
              </w:rPr>
              <w:t>2</w:t>
            </w:r>
          </w:p>
        </w:tc>
        <w:tc>
          <w:tcPr>
            <w:tcW w:w="1562" w:type="dxa"/>
            <w:tcBorders>
              <w:top w:val="single" w:color="auto" w:sz="4" w:space="0"/>
              <w:left w:val="single" w:color="auto" w:sz="4" w:space="0"/>
              <w:bottom w:val="single" w:color="auto" w:sz="4" w:space="0"/>
              <w:right w:val="single" w:color="auto" w:sz="4" w:space="0"/>
            </w:tcBorders>
          </w:tcPr>
          <w:p>
            <w:pPr>
              <w:spacing w:line="440" w:lineRule="exact"/>
              <w:rPr>
                <w:rFonts w:eastAsia="仿宋_GB2312"/>
                <w:color w:val="auto"/>
                <w:sz w:val="24"/>
              </w:rPr>
            </w:pPr>
          </w:p>
        </w:tc>
        <w:tc>
          <w:tcPr>
            <w:tcW w:w="709" w:type="dxa"/>
            <w:tcBorders>
              <w:top w:val="single" w:color="auto" w:sz="4" w:space="0"/>
              <w:left w:val="single" w:color="auto" w:sz="4" w:space="0"/>
              <w:bottom w:val="single" w:color="auto" w:sz="4" w:space="0"/>
              <w:right w:val="single" w:color="auto" w:sz="4" w:space="0"/>
            </w:tcBorders>
          </w:tcPr>
          <w:p>
            <w:pPr>
              <w:spacing w:line="440" w:lineRule="exact"/>
              <w:rPr>
                <w:rFonts w:eastAsia="仿宋_GB2312"/>
                <w:color w:val="auto"/>
                <w:sz w:val="24"/>
              </w:rPr>
            </w:pPr>
          </w:p>
        </w:tc>
        <w:tc>
          <w:tcPr>
            <w:tcW w:w="2783" w:type="dxa"/>
            <w:tcBorders>
              <w:top w:val="single" w:color="auto" w:sz="4" w:space="0"/>
              <w:left w:val="single" w:color="auto" w:sz="4" w:space="0"/>
              <w:bottom w:val="single" w:color="auto" w:sz="4" w:space="0"/>
              <w:right w:val="single" w:color="auto" w:sz="4" w:space="0"/>
            </w:tcBorders>
          </w:tcPr>
          <w:p>
            <w:pPr>
              <w:spacing w:line="440" w:lineRule="exact"/>
              <w:rPr>
                <w:rFonts w:eastAsia="仿宋_GB2312"/>
                <w:color w:val="auto"/>
                <w:sz w:val="24"/>
              </w:rPr>
            </w:pPr>
          </w:p>
        </w:tc>
        <w:tc>
          <w:tcPr>
            <w:tcW w:w="1620" w:type="dxa"/>
            <w:tcBorders>
              <w:top w:val="single" w:color="auto" w:sz="4" w:space="0"/>
              <w:left w:val="single" w:color="auto" w:sz="4" w:space="0"/>
              <w:bottom w:val="single" w:color="auto" w:sz="4" w:space="0"/>
              <w:right w:val="single" w:color="auto" w:sz="4" w:space="0"/>
            </w:tcBorders>
          </w:tcPr>
          <w:p>
            <w:pPr>
              <w:spacing w:line="440" w:lineRule="exact"/>
              <w:rPr>
                <w:rFonts w:eastAsia="仿宋_GB2312"/>
                <w:color w:val="auto"/>
                <w:sz w:val="24"/>
              </w:rPr>
            </w:pPr>
          </w:p>
        </w:tc>
        <w:tc>
          <w:tcPr>
            <w:tcW w:w="1232" w:type="dxa"/>
            <w:tcBorders>
              <w:top w:val="single" w:color="auto" w:sz="4" w:space="0"/>
              <w:left w:val="single" w:color="auto" w:sz="4" w:space="0"/>
              <w:bottom w:val="single" w:color="auto" w:sz="4" w:space="0"/>
              <w:right w:val="single" w:color="auto" w:sz="4" w:space="0"/>
            </w:tcBorders>
          </w:tcPr>
          <w:p>
            <w:pPr>
              <w:spacing w:line="440" w:lineRule="exact"/>
              <w:rPr>
                <w:rFonts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6" w:type="dxa"/>
            <w:tcBorders>
              <w:top w:val="single" w:color="auto" w:sz="4" w:space="0"/>
              <w:left w:val="single" w:color="auto" w:sz="4" w:space="0"/>
              <w:bottom w:val="single" w:color="auto" w:sz="4" w:space="0"/>
              <w:right w:val="single" w:color="auto" w:sz="4" w:space="0"/>
            </w:tcBorders>
          </w:tcPr>
          <w:p>
            <w:pPr>
              <w:spacing w:line="440" w:lineRule="exact"/>
              <w:jc w:val="center"/>
              <w:rPr>
                <w:rFonts w:eastAsia="仿宋_GB2312"/>
                <w:color w:val="auto"/>
                <w:sz w:val="24"/>
              </w:rPr>
            </w:pPr>
            <w:r>
              <w:rPr>
                <w:rFonts w:eastAsia="仿宋_GB2312"/>
                <w:color w:val="auto"/>
                <w:sz w:val="24"/>
              </w:rPr>
              <w:t>……</w:t>
            </w:r>
          </w:p>
        </w:tc>
        <w:tc>
          <w:tcPr>
            <w:tcW w:w="1562" w:type="dxa"/>
            <w:tcBorders>
              <w:top w:val="single" w:color="auto" w:sz="4" w:space="0"/>
              <w:left w:val="single" w:color="auto" w:sz="4" w:space="0"/>
              <w:bottom w:val="single" w:color="auto" w:sz="4" w:space="0"/>
              <w:right w:val="single" w:color="auto" w:sz="4" w:space="0"/>
            </w:tcBorders>
          </w:tcPr>
          <w:p>
            <w:pPr>
              <w:spacing w:line="440" w:lineRule="exact"/>
              <w:rPr>
                <w:rFonts w:eastAsia="仿宋_GB2312"/>
                <w:color w:val="auto"/>
                <w:sz w:val="24"/>
              </w:rPr>
            </w:pPr>
          </w:p>
        </w:tc>
        <w:tc>
          <w:tcPr>
            <w:tcW w:w="709" w:type="dxa"/>
            <w:tcBorders>
              <w:top w:val="single" w:color="auto" w:sz="4" w:space="0"/>
              <w:left w:val="single" w:color="auto" w:sz="4" w:space="0"/>
              <w:bottom w:val="single" w:color="auto" w:sz="4" w:space="0"/>
              <w:right w:val="single" w:color="auto" w:sz="4" w:space="0"/>
            </w:tcBorders>
          </w:tcPr>
          <w:p>
            <w:pPr>
              <w:spacing w:line="440" w:lineRule="exact"/>
              <w:rPr>
                <w:rFonts w:eastAsia="仿宋_GB2312"/>
                <w:color w:val="auto"/>
                <w:sz w:val="24"/>
              </w:rPr>
            </w:pPr>
          </w:p>
        </w:tc>
        <w:tc>
          <w:tcPr>
            <w:tcW w:w="2783" w:type="dxa"/>
            <w:tcBorders>
              <w:top w:val="single" w:color="auto" w:sz="4" w:space="0"/>
              <w:left w:val="single" w:color="auto" w:sz="4" w:space="0"/>
              <w:bottom w:val="single" w:color="auto" w:sz="4" w:space="0"/>
              <w:right w:val="single" w:color="auto" w:sz="4" w:space="0"/>
            </w:tcBorders>
          </w:tcPr>
          <w:p>
            <w:pPr>
              <w:spacing w:line="440" w:lineRule="exact"/>
              <w:rPr>
                <w:rFonts w:eastAsia="仿宋_GB2312"/>
                <w:color w:val="auto"/>
                <w:sz w:val="24"/>
              </w:rPr>
            </w:pPr>
          </w:p>
        </w:tc>
        <w:tc>
          <w:tcPr>
            <w:tcW w:w="1620" w:type="dxa"/>
            <w:tcBorders>
              <w:top w:val="single" w:color="auto" w:sz="4" w:space="0"/>
              <w:left w:val="single" w:color="auto" w:sz="4" w:space="0"/>
              <w:bottom w:val="single" w:color="auto" w:sz="4" w:space="0"/>
              <w:right w:val="single" w:color="auto" w:sz="4" w:space="0"/>
            </w:tcBorders>
          </w:tcPr>
          <w:p>
            <w:pPr>
              <w:spacing w:line="440" w:lineRule="exact"/>
              <w:rPr>
                <w:rFonts w:eastAsia="仿宋_GB2312"/>
                <w:color w:val="auto"/>
                <w:sz w:val="24"/>
              </w:rPr>
            </w:pPr>
          </w:p>
        </w:tc>
        <w:tc>
          <w:tcPr>
            <w:tcW w:w="1232" w:type="dxa"/>
            <w:tcBorders>
              <w:top w:val="single" w:color="auto" w:sz="4" w:space="0"/>
              <w:left w:val="single" w:color="auto" w:sz="4" w:space="0"/>
              <w:bottom w:val="single" w:color="auto" w:sz="4" w:space="0"/>
              <w:right w:val="single" w:color="auto" w:sz="4" w:space="0"/>
            </w:tcBorders>
          </w:tcPr>
          <w:p>
            <w:pPr>
              <w:spacing w:line="440" w:lineRule="exact"/>
              <w:rPr>
                <w:rFonts w:eastAsia="仿宋_GB2312"/>
                <w:color w:val="auto"/>
                <w:sz w:val="24"/>
              </w:rPr>
            </w:pPr>
          </w:p>
        </w:tc>
      </w:tr>
    </w:tbl>
    <w:p>
      <w:pPr>
        <w:spacing w:line="460" w:lineRule="exact"/>
        <w:ind w:firstLine="480" w:firstLineChars="200"/>
        <w:rPr>
          <w:rFonts w:ascii="楷体_GB2312" w:hAnsi="宋体" w:eastAsia="楷体_GB2312"/>
          <w:bCs/>
          <w:color w:val="auto"/>
          <w:sz w:val="24"/>
        </w:rPr>
      </w:pPr>
      <w:r>
        <w:rPr>
          <w:rFonts w:hint="eastAsia" w:ascii="楷体_GB2312" w:hAnsi="宋体" w:eastAsia="楷体_GB2312"/>
          <w:bCs/>
          <w:color w:val="auto"/>
          <w:sz w:val="24"/>
        </w:rPr>
        <w:t>（二）因申请人的下列原因导致现场核查无法正常开展，本次现场核查的结论判定为未通过现场核查：</w:t>
      </w:r>
    </w:p>
    <w:p>
      <w:pPr>
        <w:spacing w:line="460" w:lineRule="exact"/>
        <w:ind w:firstLine="480" w:firstLineChars="200"/>
        <w:rPr>
          <w:rFonts w:ascii="仿宋_GB2312" w:hAnsi="宋体" w:eastAsia="仿宋_GB2312"/>
          <w:color w:val="auto"/>
          <w:sz w:val="24"/>
        </w:rPr>
      </w:pPr>
      <w:r>
        <w:rPr>
          <w:rFonts w:hint="eastAsia" w:ascii="仿宋_GB2312" w:hAnsi="宋体" w:eastAsia="仿宋_GB2312"/>
          <w:color w:val="auto"/>
          <w:sz w:val="24"/>
        </w:rPr>
        <w:t>□不配合实施现场核查；</w:t>
      </w:r>
    </w:p>
    <w:p>
      <w:pPr>
        <w:spacing w:line="460" w:lineRule="exact"/>
        <w:ind w:firstLine="480" w:firstLineChars="200"/>
        <w:rPr>
          <w:rFonts w:ascii="仿宋_GB2312" w:hAnsi="宋体" w:eastAsia="仿宋_GB2312"/>
          <w:color w:val="auto"/>
          <w:sz w:val="24"/>
        </w:rPr>
      </w:pPr>
      <w:r>
        <w:rPr>
          <w:rFonts w:hint="eastAsia" w:ascii="仿宋_GB2312" w:hAnsi="宋体" w:eastAsia="仿宋_GB2312"/>
          <w:color w:val="auto"/>
          <w:sz w:val="24"/>
        </w:rPr>
        <w:t>□现场核查时生产设备设施不能正常运行；</w:t>
      </w:r>
    </w:p>
    <w:p>
      <w:pPr>
        <w:spacing w:line="460" w:lineRule="exact"/>
        <w:ind w:firstLine="480" w:firstLineChars="200"/>
        <w:rPr>
          <w:rFonts w:ascii="仿宋_GB2312" w:hAnsi="宋体" w:eastAsia="仿宋_GB2312"/>
          <w:color w:val="auto"/>
          <w:sz w:val="24"/>
        </w:rPr>
      </w:pPr>
      <w:r>
        <w:rPr>
          <w:rFonts w:hint="eastAsia" w:ascii="仿宋_GB2312" w:hAnsi="宋体" w:eastAsia="仿宋_GB2312"/>
          <w:color w:val="auto"/>
          <w:sz w:val="24"/>
        </w:rPr>
        <w:t>□存在隐瞒有关情况或提供虚假申请材料；</w:t>
      </w:r>
    </w:p>
    <w:p>
      <w:pPr>
        <w:spacing w:line="460" w:lineRule="exact"/>
        <w:ind w:firstLine="480" w:firstLineChars="200"/>
        <w:rPr>
          <w:rFonts w:ascii="仿宋_GB2312" w:hAnsi="宋体" w:eastAsia="仿宋_GB2312"/>
          <w:color w:val="auto"/>
          <w:sz w:val="24"/>
        </w:rPr>
      </w:pPr>
      <w:r>
        <w:rPr>
          <w:rFonts w:hint="eastAsia" w:ascii="仿宋_GB2312" w:hAnsi="宋体" w:eastAsia="仿宋_GB2312"/>
          <w:color w:val="auto"/>
          <w:sz w:val="24"/>
        </w:rPr>
        <w:t>□因申请人的其他主观原因。</w:t>
      </w:r>
    </w:p>
    <w:p>
      <w:pPr>
        <w:spacing w:line="460" w:lineRule="exact"/>
        <w:ind w:firstLine="480" w:firstLineChars="200"/>
        <w:rPr>
          <w:rFonts w:ascii="楷体_GB2312" w:hAnsi="宋体" w:eastAsia="楷体_GB2312"/>
          <w:bCs/>
          <w:color w:val="auto"/>
          <w:sz w:val="24"/>
        </w:rPr>
      </w:pPr>
      <w:r>
        <w:rPr>
          <w:rFonts w:hint="eastAsia" w:ascii="楷体_GB2312" w:hAnsi="宋体" w:eastAsia="楷体_GB2312"/>
          <w:bCs/>
          <w:color w:val="auto"/>
          <w:sz w:val="24"/>
        </w:rPr>
        <w:t>（三）因下列原因导致现场核查无法正常开展，中止现场核查：</w:t>
      </w:r>
    </w:p>
    <w:p>
      <w:pPr>
        <w:spacing w:line="460" w:lineRule="exact"/>
        <w:ind w:firstLine="480" w:firstLineChars="200"/>
        <w:rPr>
          <w:rFonts w:ascii="仿宋_GB2312" w:hAnsi="宋体" w:eastAsia="仿宋_GB2312"/>
          <w:color w:val="auto"/>
          <w:sz w:val="24"/>
        </w:rPr>
      </w:pPr>
      <w:r>
        <w:rPr>
          <w:rFonts w:hint="eastAsia" w:ascii="仿宋_GB2312" w:hAnsi="宋体" w:eastAsia="仿宋_GB2312"/>
          <w:color w:val="auto"/>
          <w:sz w:val="24"/>
        </w:rPr>
        <w:t>□因不可抗力或其他客观原因：</w:t>
      </w:r>
      <w:r>
        <w:rPr>
          <w:rFonts w:ascii="仿宋_GB2312" w:hAnsi="宋体" w:eastAsia="仿宋_GB2312"/>
          <w:color w:val="auto"/>
          <w:sz w:val="24"/>
          <w:u w:val="single"/>
        </w:rPr>
        <w:t xml:space="preserve">                              </w:t>
      </w:r>
      <w:r>
        <w:rPr>
          <w:rFonts w:hint="eastAsia" w:ascii="仿宋_GB2312" w:hAnsi="宋体" w:eastAsia="仿宋_GB2312"/>
          <w:color w:val="auto"/>
          <w:sz w:val="24"/>
        </w:rPr>
        <w:t>；</w:t>
      </w:r>
    </w:p>
    <w:p>
      <w:pPr>
        <w:spacing w:line="460" w:lineRule="exact"/>
        <w:ind w:firstLine="480" w:firstLineChars="200"/>
        <w:rPr>
          <w:rFonts w:ascii="仿宋_GB2312" w:hAnsi="宋体" w:eastAsia="仿宋_GB2312"/>
          <w:color w:val="auto"/>
          <w:sz w:val="24"/>
        </w:rPr>
      </w:pPr>
      <w:r>
        <w:rPr>
          <w:rFonts w:hint="eastAsia" w:ascii="仿宋_GB2312" w:hAnsi="宋体" w:eastAsia="仿宋_GB2312"/>
          <w:color w:val="auto"/>
          <w:sz w:val="24"/>
        </w:rPr>
        <w:t>□因申请人涉嫌食品安全违法且被市场监督管理部门立案调查。</w:t>
      </w:r>
    </w:p>
    <w:p>
      <w:pPr>
        <w:spacing w:line="460" w:lineRule="exact"/>
        <w:ind w:firstLine="480" w:firstLineChars="200"/>
        <w:rPr>
          <w:rFonts w:ascii="仿宋_GB2312" w:hAnsi="宋体" w:eastAsia="仿宋_GB2312"/>
          <w:color w:val="auto"/>
          <w:sz w:val="24"/>
        </w:rPr>
      </w:pPr>
    </w:p>
    <w:p>
      <w:pPr>
        <w:spacing w:line="460" w:lineRule="exact"/>
        <w:rPr>
          <w:rFonts w:ascii="仿宋_GB2312" w:hAnsi="宋体" w:eastAsia="仿宋_GB2312"/>
          <w:color w:val="auto"/>
          <w:sz w:val="24"/>
        </w:rPr>
      </w:pPr>
      <w:r>
        <w:rPr>
          <w:rFonts w:hint="eastAsia" w:ascii="仿宋_GB2312" w:hAnsi="宋体" w:eastAsia="仿宋_GB2312"/>
          <w:color w:val="auto"/>
          <w:sz w:val="24"/>
        </w:rPr>
        <w:t>核查组长签名：                         申请人意见：</w:t>
      </w:r>
    </w:p>
    <w:p>
      <w:pPr>
        <w:spacing w:line="460" w:lineRule="exact"/>
        <w:rPr>
          <w:rFonts w:ascii="仿宋_GB2312" w:hAnsi="宋体" w:eastAsia="仿宋_GB2312"/>
          <w:color w:val="auto"/>
          <w:sz w:val="24"/>
        </w:rPr>
      </w:pPr>
      <w:r>
        <w:rPr>
          <w:rFonts w:hint="eastAsia" w:ascii="仿宋_GB2312" w:hAnsi="宋体" w:eastAsia="仿宋_GB2312"/>
          <w:color w:val="auto"/>
          <w:sz w:val="24"/>
        </w:rPr>
        <w:t xml:space="preserve">核查组员签名：                         </w:t>
      </w:r>
    </w:p>
    <w:p>
      <w:pPr>
        <w:spacing w:line="460" w:lineRule="exact"/>
        <w:rPr>
          <w:rFonts w:ascii="仿宋_GB2312" w:hAnsi="宋体" w:eastAsia="仿宋_GB2312"/>
          <w:color w:val="auto"/>
          <w:sz w:val="24"/>
        </w:rPr>
      </w:pPr>
      <w:r>
        <w:rPr>
          <w:rFonts w:hint="eastAsia" w:ascii="仿宋_GB2312" w:hAnsi="宋体" w:eastAsia="仿宋_GB2312"/>
          <w:color w:val="auto"/>
          <w:sz w:val="24"/>
        </w:rPr>
        <w:t>观察员签名：                         申请人签名（盖章）：</w:t>
      </w:r>
    </w:p>
    <w:p>
      <w:pPr>
        <w:spacing w:line="460" w:lineRule="exact"/>
        <w:ind w:right="-426" w:rightChars="-203" w:firstLine="480" w:firstLineChars="200"/>
        <w:rPr>
          <w:rFonts w:ascii="仿宋_GB2312" w:hAnsi="宋体" w:eastAsia="仿宋_GB2312"/>
          <w:color w:val="auto"/>
          <w:sz w:val="24"/>
        </w:rPr>
      </w:pPr>
      <w:r>
        <w:rPr>
          <w:rFonts w:hint="eastAsia" w:ascii="仿宋_GB2312" w:hAnsi="宋体" w:eastAsia="仿宋_GB2312"/>
          <w:color w:val="auto"/>
          <w:sz w:val="24"/>
        </w:rPr>
        <w:t xml:space="preserve">       年    月    日                             年    月    日</w:t>
      </w:r>
    </w:p>
    <w:p>
      <w:pPr>
        <w:widowControl/>
        <w:jc w:val="left"/>
        <w:rPr>
          <w:rFonts w:ascii="仿宋_GB2312" w:hAnsi="宋体" w:eastAsia="仿宋_GB2312"/>
          <w:color w:val="auto"/>
          <w:sz w:val="24"/>
        </w:rPr>
        <w:sectPr>
          <w:pgSz w:w="11906" w:h="16838"/>
          <w:pgMar w:top="1701" w:right="1701" w:bottom="1474" w:left="1701" w:header="1134" w:footer="1134" w:gutter="0"/>
          <w:pgNumType w:fmt="numberInDash"/>
          <w:cols w:space="720" w:num="1"/>
        </w:sectPr>
      </w:pPr>
    </w:p>
    <w:p>
      <w:pPr>
        <w:spacing w:line="440" w:lineRule="exact"/>
        <w:ind w:firstLine="480" w:firstLineChars="200"/>
        <w:rPr>
          <w:rFonts w:ascii="黑体" w:hAnsi="黑体" w:eastAsia="黑体"/>
          <w:color w:val="auto"/>
          <w:sz w:val="24"/>
        </w:rPr>
      </w:pPr>
      <w:r>
        <w:rPr>
          <w:rFonts w:hint="eastAsia" w:ascii="黑体" w:hAnsi="黑体" w:eastAsia="黑体"/>
          <w:color w:val="auto"/>
          <w:sz w:val="24"/>
        </w:rPr>
        <w:t>二、食品、食品添加剂生产许可现场核查得分及存在的问题</w:t>
      </w:r>
    </w:p>
    <w:p>
      <w:pPr>
        <w:spacing w:line="400" w:lineRule="exact"/>
        <w:rPr>
          <w:rFonts w:ascii="仿宋_GB2312" w:hAnsi="宋体" w:eastAsia="仿宋_GB2312" w:cs="宋体"/>
          <w:color w:val="auto"/>
          <w:kern w:val="0"/>
          <w:sz w:val="24"/>
          <w:u w:val="single"/>
        </w:rPr>
      </w:pPr>
      <w:r>
        <w:rPr>
          <w:rFonts w:hint="eastAsia" w:ascii="仿宋_GB2312" w:hAnsi="宋体" w:eastAsia="仿宋_GB2312" w:cs="宋体"/>
          <w:color w:val="auto"/>
          <w:kern w:val="0"/>
          <w:sz w:val="24"/>
        </w:rPr>
        <w:t>食品、食品添加剂类别及类别名称：</w:t>
      </w:r>
      <w:r>
        <w:rPr>
          <w:rFonts w:hint="eastAsia" w:ascii="仿宋_GB2312" w:hAnsi="宋体" w:eastAsia="仿宋_GB2312" w:cs="宋体"/>
          <w:color w:val="auto"/>
          <w:kern w:val="0"/>
          <w:sz w:val="24"/>
          <w:u w:val="single"/>
        </w:rPr>
        <w:t xml:space="preserve">                               </w:t>
      </w:r>
    </w:p>
    <w:tbl>
      <w:tblPr>
        <w:tblStyle w:val="13"/>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2875"/>
        <w:gridCol w:w="3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860" w:type="dxa"/>
            <w:gridSpan w:val="2"/>
            <w:tcBorders>
              <w:top w:val="single" w:color="auto" w:sz="4" w:space="0"/>
              <w:left w:val="single" w:color="auto" w:sz="4" w:space="0"/>
              <w:bottom w:val="single" w:color="auto" w:sz="4" w:space="0"/>
              <w:right w:val="single" w:color="auto" w:sz="4" w:space="0"/>
            </w:tcBorders>
            <w:vAlign w:val="center"/>
          </w:tcPr>
          <w:p>
            <w:pPr>
              <w:tabs>
                <w:tab w:val="left" w:pos="-108"/>
              </w:tabs>
              <w:spacing w:line="360" w:lineRule="exact"/>
              <w:jc w:val="center"/>
              <w:rPr>
                <w:rFonts w:eastAsia="仿宋_GB2312"/>
                <w:b/>
                <w:color w:val="auto"/>
                <w:sz w:val="24"/>
              </w:rPr>
            </w:pPr>
            <w:r>
              <w:rPr>
                <w:rFonts w:hint="eastAsia" w:eastAsia="仿宋_GB2312"/>
                <w:b/>
                <w:color w:val="auto"/>
                <w:sz w:val="24"/>
              </w:rPr>
              <w:t>核查项目分数</w:t>
            </w:r>
          </w:p>
        </w:tc>
        <w:tc>
          <w:tcPr>
            <w:tcW w:w="3645" w:type="dxa"/>
            <w:tcBorders>
              <w:top w:val="single" w:color="auto" w:sz="4" w:space="0"/>
              <w:left w:val="single" w:color="auto" w:sz="4" w:space="0"/>
              <w:bottom w:val="single" w:color="auto" w:sz="4" w:space="0"/>
              <w:right w:val="single" w:color="auto" w:sz="4" w:space="0"/>
            </w:tcBorders>
            <w:vAlign w:val="center"/>
          </w:tcPr>
          <w:p>
            <w:pPr>
              <w:tabs>
                <w:tab w:val="left" w:pos="210"/>
              </w:tabs>
              <w:spacing w:line="360" w:lineRule="exact"/>
              <w:jc w:val="center"/>
              <w:rPr>
                <w:rFonts w:eastAsia="仿宋_GB2312"/>
                <w:b/>
                <w:color w:val="auto"/>
                <w:sz w:val="24"/>
              </w:rPr>
            </w:pPr>
            <w:r>
              <w:rPr>
                <w:rFonts w:hint="eastAsia" w:eastAsia="仿宋_GB2312"/>
                <w:b/>
                <w:color w:val="auto"/>
                <w:sz w:val="24"/>
              </w:rPr>
              <w:t>实际得分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86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eastAsia="仿宋_GB2312"/>
                <w:color w:val="auto"/>
                <w:kern w:val="0"/>
                <w:sz w:val="24"/>
              </w:rPr>
            </w:pPr>
            <w:r>
              <w:rPr>
                <w:rFonts w:hint="eastAsia" w:eastAsia="仿宋_GB2312"/>
                <w:color w:val="auto"/>
                <w:kern w:val="0"/>
                <w:sz w:val="24"/>
              </w:rPr>
              <w:t>生产场所                       （分）</w:t>
            </w:r>
          </w:p>
        </w:tc>
        <w:tc>
          <w:tcPr>
            <w:tcW w:w="3645" w:type="dxa"/>
            <w:tcBorders>
              <w:top w:val="single" w:color="auto" w:sz="4" w:space="0"/>
              <w:left w:val="single" w:color="auto" w:sz="4" w:space="0"/>
              <w:bottom w:val="single" w:color="auto" w:sz="4" w:space="0"/>
              <w:right w:val="single" w:color="auto" w:sz="4" w:space="0"/>
            </w:tcBorders>
            <w:vAlign w:val="center"/>
          </w:tcPr>
          <w:p>
            <w:pPr>
              <w:spacing w:line="360" w:lineRule="exact"/>
              <w:jc w:val="right"/>
              <w:rPr>
                <w:rFonts w:eastAsia="仿宋_GB2312"/>
                <w:color w:val="auto"/>
                <w:sz w:val="24"/>
              </w:rPr>
            </w:pPr>
            <w:r>
              <w:rPr>
                <w:rFonts w:hint="eastAsia" w:eastAsia="仿宋_GB2312"/>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86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eastAsia="仿宋_GB2312"/>
                <w:color w:val="auto"/>
                <w:kern w:val="0"/>
                <w:sz w:val="24"/>
              </w:rPr>
            </w:pPr>
            <w:r>
              <w:rPr>
                <w:rFonts w:hint="eastAsia" w:eastAsia="仿宋_GB2312"/>
                <w:color w:val="auto"/>
                <w:kern w:val="0"/>
                <w:sz w:val="24"/>
              </w:rPr>
              <w:t xml:space="preserve">设备设施 </w:t>
            </w:r>
            <w:r>
              <w:rPr>
                <w:rFonts w:eastAsia="仿宋_GB2312"/>
                <w:color w:val="auto"/>
                <w:kern w:val="0"/>
                <w:sz w:val="24"/>
              </w:rPr>
              <w:t xml:space="preserve">                      </w:t>
            </w:r>
            <w:r>
              <w:rPr>
                <w:rFonts w:hint="eastAsia" w:eastAsia="仿宋_GB2312"/>
                <w:color w:val="auto"/>
                <w:kern w:val="0"/>
                <w:sz w:val="24"/>
              </w:rPr>
              <w:t>（分）</w:t>
            </w:r>
          </w:p>
        </w:tc>
        <w:tc>
          <w:tcPr>
            <w:tcW w:w="3645" w:type="dxa"/>
            <w:tcBorders>
              <w:top w:val="single" w:color="auto" w:sz="4" w:space="0"/>
              <w:left w:val="single" w:color="auto" w:sz="4" w:space="0"/>
              <w:bottom w:val="single" w:color="auto" w:sz="4" w:space="0"/>
              <w:right w:val="single" w:color="auto" w:sz="4" w:space="0"/>
            </w:tcBorders>
            <w:vAlign w:val="center"/>
          </w:tcPr>
          <w:p>
            <w:pPr>
              <w:spacing w:line="360" w:lineRule="exact"/>
              <w:jc w:val="right"/>
              <w:rPr>
                <w:rFonts w:eastAsia="仿宋_GB2312"/>
                <w:color w:val="auto"/>
                <w:sz w:val="24"/>
              </w:rPr>
            </w:pPr>
            <w:r>
              <w:rPr>
                <w:rFonts w:hint="eastAsia" w:eastAsia="仿宋_GB2312"/>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86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eastAsia="仿宋_GB2312"/>
                <w:color w:val="auto"/>
                <w:kern w:val="0"/>
                <w:sz w:val="24"/>
              </w:rPr>
            </w:pPr>
            <w:r>
              <w:rPr>
                <w:rFonts w:hint="eastAsia" w:eastAsia="仿宋_GB2312"/>
                <w:color w:val="auto"/>
                <w:kern w:val="0"/>
                <w:sz w:val="24"/>
              </w:rPr>
              <w:t>设备布局和工艺流程             （分）</w:t>
            </w:r>
          </w:p>
        </w:tc>
        <w:tc>
          <w:tcPr>
            <w:tcW w:w="3645" w:type="dxa"/>
            <w:tcBorders>
              <w:top w:val="single" w:color="auto" w:sz="4" w:space="0"/>
              <w:left w:val="single" w:color="auto" w:sz="4" w:space="0"/>
              <w:bottom w:val="single" w:color="auto" w:sz="4" w:space="0"/>
              <w:right w:val="single" w:color="auto" w:sz="4" w:space="0"/>
            </w:tcBorders>
            <w:vAlign w:val="center"/>
          </w:tcPr>
          <w:p>
            <w:pPr>
              <w:spacing w:line="360" w:lineRule="exact"/>
              <w:jc w:val="right"/>
              <w:rPr>
                <w:rFonts w:eastAsia="仿宋_GB2312"/>
                <w:color w:val="auto"/>
                <w:sz w:val="24"/>
              </w:rPr>
            </w:pPr>
            <w:r>
              <w:rPr>
                <w:rFonts w:hint="eastAsia" w:eastAsia="仿宋_GB2312"/>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86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eastAsia="仿宋_GB2312"/>
                <w:color w:val="auto"/>
                <w:kern w:val="0"/>
                <w:sz w:val="24"/>
              </w:rPr>
            </w:pPr>
            <w:r>
              <w:rPr>
                <w:rFonts w:hint="eastAsia" w:eastAsia="仿宋_GB2312"/>
                <w:color w:val="auto"/>
                <w:kern w:val="0"/>
                <w:sz w:val="24"/>
              </w:rPr>
              <w:t>人员管理                       （分）</w:t>
            </w:r>
          </w:p>
        </w:tc>
        <w:tc>
          <w:tcPr>
            <w:tcW w:w="3645" w:type="dxa"/>
            <w:tcBorders>
              <w:top w:val="single" w:color="auto" w:sz="4" w:space="0"/>
              <w:left w:val="single" w:color="auto" w:sz="4" w:space="0"/>
              <w:bottom w:val="single" w:color="auto" w:sz="4" w:space="0"/>
              <w:right w:val="single" w:color="auto" w:sz="4" w:space="0"/>
            </w:tcBorders>
            <w:vAlign w:val="center"/>
          </w:tcPr>
          <w:p>
            <w:pPr>
              <w:spacing w:line="360" w:lineRule="exact"/>
              <w:jc w:val="right"/>
              <w:rPr>
                <w:rFonts w:eastAsia="仿宋_GB2312"/>
                <w:color w:val="auto"/>
                <w:sz w:val="24"/>
              </w:rPr>
            </w:pPr>
            <w:r>
              <w:rPr>
                <w:rFonts w:hint="eastAsia" w:eastAsia="仿宋_GB2312"/>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86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color w:val="auto"/>
                <w:kern w:val="0"/>
                <w:sz w:val="24"/>
              </w:rPr>
            </w:pPr>
            <w:r>
              <w:rPr>
                <w:rFonts w:hint="eastAsia" w:eastAsia="仿宋_GB2312"/>
                <w:color w:val="auto"/>
                <w:kern w:val="0"/>
                <w:sz w:val="24"/>
              </w:rPr>
              <w:t>管理制度                       （分）</w:t>
            </w:r>
          </w:p>
        </w:tc>
        <w:tc>
          <w:tcPr>
            <w:tcW w:w="3645" w:type="dxa"/>
            <w:tcBorders>
              <w:top w:val="single" w:color="auto" w:sz="4" w:space="0"/>
              <w:left w:val="single" w:color="auto" w:sz="4" w:space="0"/>
              <w:bottom w:val="single" w:color="auto" w:sz="4" w:space="0"/>
              <w:right w:val="single" w:color="auto" w:sz="4" w:space="0"/>
            </w:tcBorders>
            <w:vAlign w:val="center"/>
          </w:tcPr>
          <w:p>
            <w:pPr>
              <w:spacing w:line="360" w:lineRule="exact"/>
              <w:jc w:val="right"/>
              <w:rPr>
                <w:rFonts w:eastAsia="仿宋_GB2312"/>
                <w:color w:val="auto"/>
                <w:sz w:val="24"/>
              </w:rPr>
            </w:pPr>
            <w:r>
              <w:rPr>
                <w:rFonts w:hint="eastAsia" w:eastAsia="仿宋_GB2312"/>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860" w:type="dxa"/>
            <w:gridSpan w:val="2"/>
            <w:tcBorders>
              <w:top w:val="single" w:color="auto" w:sz="4" w:space="0"/>
              <w:left w:val="single" w:color="auto" w:sz="4" w:space="0"/>
              <w:bottom w:val="single" w:color="auto" w:sz="4" w:space="0"/>
              <w:right w:val="single" w:color="auto" w:sz="4" w:space="0"/>
            </w:tcBorders>
            <w:vAlign w:val="center"/>
          </w:tcPr>
          <w:p>
            <w:pPr>
              <w:tabs>
                <w:tab w:val="left" w:pos="210"/>
              </w:tabs>
              <w:spacing w:line="360" w:lineRule="exact"/>
              <w:jc w:val="left"/>
              <w:rPr>
                <w:rFonts w:eastAsia="仿宋_GB2312"/>
                <w:color w:val="auto"/>
                <w:kern w:val="0"/>
                <w:sz w:val="24"/>
              </w:rPr>
            </w:pPr>
            <w:r>
              <w:rPr>
                <w:rFonts w:hint="eastAsia" w:eastAsia="仿宋_GB2312"/>
                <w:color w:val="auto"/>
                <w:kern w:val="0"/>
                <w:sz w:val="24"/>
              </w:rPr>
              <w:t>试制产品检验合格报告           （分）</w:t>
            </w:r>
          </w:p>
        </w:tc>
        <w:tc>
          <w:tcPr>
            <w:tcW w:w="3645" w:type="dxa"/>
            <w:tcBorders>
              <w:top w:val="single" w:color="auto" w:sz="4" w:space="0"/>
              <w:left w:val="single" w:color="auto" w:sz="4" w:space="0"/>
              <w:bottom w:val="single" w:color="auto" w:sz="4" w:space="0"/>
              <w:right w:val="single" w:color="auto" w:sz="4" w:space="0"/>
            </w:tcBorders>
            <w:vAlign w:val="center"/>
          </w:tcPr>
          <w:p>
            <w:pPr>
              <w:tabs>
                <w:tab w:val="left" w:pos="210"/>
              </w:tabs>
              <w:spacing w:line="360" w:lineRule="exact"/>
              <w:ind w:hanging="480"/>
              <w:jc w:val="right"/>
              <w:rPr>
                <w:rFonts w:eastAsia="仿宋_GB2312"/>
                <w:color w:val="auto"/>
                <w:sz w:val="24"/>
              </w:rPr>
            </w:pPr>
            <w:r>
              <w:rPr>
                <w:rFonts w:hint="eastAsia" w:eastAsia="仿宋_GB2312"/>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8505" w:type="dxa"/>
            <w:gridSpan w:val="3"/>
            <w:tcBorders>
              <w:top w:val="single" w:color="auto" w:sz="4" w:space="0"/>
              <w:left w:val="single" w:color="auto" w:sz="4" w:space="0"/>
              <w:bottom w:val="single" w:color="auto" w:sz="4" w:space="0"/>
              <w:right w:val="single" w:color="auto" w:sz="4" w:space="0"/>
            </w:tcBorders>
            <w:vAlign w:val="center"/>
          </w:tcPr>
          <w:p>
            <w:pPr>
              <w:tabs>
                <w:tab w:val="left" w:pos="210"/>
              </w:tabs>
              <w:spacing w:line="360" w:lineRule="exact"/>
              <w:jc w:val="left"/>
              <w:rPr>
                <w:rFonts w:eastAsia="仿宋_GB2312"/>
                <w:color w:val="auto"/>
                <w:sz w:val="24"/>
              </w:rPr>
            </w:pPr>
            <w:r>
              <w:rPr>
                <w:rFonts w:hint="eastAsia" w:eastAsia="仿宋_GB2312"/>
                <w:color w:val="auto"/>
                <w:sz w:val="24"/>
              </w:rPr>
              <w:t>总分：</w:t>
            </w:r>
            <w:r>
              <w:rPr>
                <w:rFonts w:hint="eastAsia" w:eastAsia="仿宋_GB2312"/>
                <w:color w:val="auto"/>
                <w:sz w:val="24"/>
                <w:u w:val="single"/>
              </w:rPr>
              <w:t xml:space="preserve"> </w:t>
            </w:r>
            <w:r>
              <w:rPr>
                <w:rFonts w:eastAsia="仿宋_GB2312"/>
                <w:color w:val="auto"/>
                <w:sz w:val="24"/>
                <w:u w:val="single"/>
              </w:rPr>
              <w:t xml:space="preserve">  </w:t>
            </w:r>
            <w:r>
              <w:rPr>
                <w:rFonts w:hint="eastAsia" w:eastAsia="仿宋_GB2312"/>
                <w:color w:val="auto"/>
                <w:sz w:val="24"/>
              </w:rPr>
              <w:t>（分）；得分率：</w:t>
            </w:r>
            <w:r>
              <w:rPr>
                <w:rFonts w:eastAsia="仿宋_GB2312"/>
                <w:color w:val="auto"/>
                <w:sz w:val="24"/>
                <w:u w:val="single"/>
              </w:rPr>
              <w:t xml:space="preserve">     </w:t>
            </w:r>
            <w:r>
              <w:rPr>
                <w:rFonts w:eastAsia="仿宋_GB2312"/>
                <w:color w:val="auto"/>
                <w:sz w:val="24"/>
              </w:rPr>
              <w:t>%</w:t>
            </w:r>
            <w:r>
              <w:rPr>
                <w:rFonts w:hint="eastAsia" w:eastAsia="仿宋_GB2312"/>
                <w:color w:val="auto"/>
                <w:sz w:val="24"/>
              </w:rPr>
              <w:t>；单项得分为</w:t>
            </w:r>
            <w:r>
              <w:rPr>
                <w:rFonts w:eastAsia="仿宋_GB2312"/>
                <w:color w:val="auto"/>
                <w:sz w:val="24"/>
              </w:rPr>
              <w:t>0</w:t>
            </w:r>
            <w:r>
              <w:rPr>
                <w:rFonts w:hint="eastAsia" w:eastAsia="仿宋_GB2312"/>
                <w:color w:val="auto"/>
                <w:sz w:val="24"/>
              </w:rPr>
              <w:t>分的共</w:t>
            </w:r>
            <w:r>
              <w:rPr>
                <w:rFonts w:hint="eastAsia" w:eastAsia="仿宋_GB2312"/>
                <w:color w:val="auto"/>
                <w:sz w:val="24"/>
                <w:u w:val="single"/>
              </w:rPr>
              <w:t xml:space="preserve">   </w:t>
            </w:r>
            <w:r>
              <w:rPr>
                <w:rFonts w:hint="eastAsia" w:eastAsia="仿宋_GB2312"/>
                <w:color w:val="auto"/>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8505" w:type="dxa"/>
            <w:gridSpan w:val="3"/>
            <w:tcBorders>
              <w:top w:val="single" w:color="auto" w:sz="4" w:space="0"/>
              <w:left w:val="single" w:color="auto" w:sz="4" w:space="0"/>
              <w:bottom w:val="single" w:color="auto" w:sz="4" w:space="0"/>
              <w:right w:val="single" w:color="auto" w:sz="4" w:space="0"/>
            </w:tcBorders>
            <w:vAlign w:val="center"/>
          </w:tcPr>
          <w:p>
            <w:pPr>
              <w:tabs>
                <w:tab w:val="left" w:pos="210"/>
              </w:tabs>
              <w:spacing w:line="360" w:lineRule="exact"/>
              <w:jc w:val="center"/>
              <w:rPr>
                <w:rFonts w:eastAsia="仿宋_GB2312"/>
                <w:b/>
                <w:color w:val="auto"/>
                <w:sz w:val="24"/>
              </w:rPr>
            </w:pPr>
            <w:r>
              <w:rPr>
                <w:rFonts w:hint="eastAsia" w:eastAsia="仿宋_GB2312"/>
                <w:b/>
                <w:color w:val="auto"/>
                <w:sz w:val="24"/>
              </w:rPr>
              <w:t>现场核查发现的问题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trPr>
        <w:tc>
          <w:tcPr>
            <w:tcW w:w="1985" w:type="dxa"/>
            <w:tcBorders>
              <w:top w:val="single" w:color="auto" w:sz="4" w:space="0"/>
              <w:left w:val="single" w:color="auto" w:sz="4" w:space="0"/>
              <w:bottom w:val="single" w:color="auto" w:sz="4" w:space="0"/>
              <w:right w:val="single" w:color="auto" w:sz="4" w:space="0"/>
            </w:tcBorders>
            <w:vAlign w:val="center"/>
          </w:tcPr>
          <w:p>
            <w:pPr>
              <w:tabs>
                <w:tab w:val="left" w:pos="210"/>
              </w:tabs>
              <w:spacing w:line="360" w:lineRule="exact"/>
              <w:jc w:val="center"/>
              <w:rPr>
                <w:rFonts w:eastAsia="仿宋_GB2312"/>
                <w:b/>
                <w:color w:val="auto"/>
                <w:sz w:val="24"/>
              </w:rPr>
            </w:pPr>
            <w:r>
              <w:rPr>
                <w:rFonts w:hint="eastAsia" w:eastAsia="仿宋_GB2312"/>
                <w:b/>
                <w:color w:val="auto"/>
                <w:sz w:val="24"/>
              </w:rPr>
              <w:t>核查项目序号</w:t>
            </w:r>
          </w:p>
        </w:tc>
        <w:tc>
          <w:tcPr>
            <w:tcW w:w="6520" w:type="dxa"/>
            <w:gridSpan w:val="2"/>
            <w:tcBorders>
              <w:top w:val="single" w:color="auto" w:sz="4" w:space="0"/>
              <w:left w:val="single" w:color="auto" w:sz="4" w:space="0"/>
              <w:bottom w:val="single" w:color="auto" w:sz="4" w:space="0"/>
              <w:right w:val="single" w:color="auto" w:sz="4" w:space="0"/>
            </w:tcBorders>
            <w:vAlign w:val="center"/>
          </w:tcPr>
          <w:p>
            <w:pPr>
              <w:tabs>
                <w:tab w:val="left" w:pos="210"/>
              </w:tabs>
              <w:spacing w:line="360" w:lineRule="exact"/>
              <w:jc w:val="center"/>
              <w:rPr>
                <w:rFonts w:eastAsia="仿宋_GB2312"/>
                <w:b/>
                <w:color w:val="auto"/>
                <w:sz w:val="24"/>
              </w:rPr>
            </w:pPr>
            <w:r>
              <w:rPr>
                <w:rFonts w:hint="eastAsia" w:eastAsia="仿宋_GB2312"/>
                <w:b/>
                <w:color w:val="auto"/>
                <w:sz w:val="24"/>
              </w:rPr>
              <w:t>问题描述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0" w:hRule="atLeast"/>
        </w:trPr>
        <w:tc>
          <w:tcPr>
            <w:tcW w:w="1985" w:type="dxa"/>
            <w:tcBorders>
              <w:top w:val="single" w:color="auto" w:sz="4" w:space="0"/>
              <w:left w:val="single" w:color="auto" w:sz="4" w:space="0"/>
              <w:bottom w:val="single" w:color="auto" w:sz="4" w:space="0"/>
              <w:right w:val="single" w:color="auto" w:sz="4" w:space="0"/>
            </w:tcBorders>
            <w:vAlign w:val="center"/>
          </w:tcPr>
          <w:p>
            <w:pPr>
              <w:tabs>
                <w:tab w:val="left" w:pos="210"/>
              </w:tabs>
              <w:spacing w:line="360" w:lineRule="exact"/>
              <w:rPr>
                <w:rFonts w:eastAsia="仿宋_GB2312"/>
                <w:b/>
                <w:color w:val="auto"/>
                <w:sz w:val="24"/>
              </w:rPr>
            </w:pPr>
          </w:p>
        </w:tc>
        <w:tc>
          <w:tcPr>
            <w:tcW w:w="6520" w:type="dxa"/>
            <w:gridSpan w:val="2"/>
            <w:tcBorders>
              <w:top w:val="single" w:color="auto" w:sz="4" w:space="0"/>
              <w:left w:val="single" w:color="auto" w:sz="4" w:space="0"/>
              <w:bottom w:val="single" w:color="auto" w:sz="4" w:space="0"/>
              <w:right w:val="single" w:color="auto" w:sz="4" w:space="0"/>
            </w:tcBorders>
            <w:vAlign w:val="center"/>
          </w:tcPr>
          <w:p>
            <w:pPr>
              <w:tabs>
                <w:tab w:val="left" w:pos="210"/>
              </w:tabs>
              <w:spacing w:line="360" w:lineRule="exact"/>
              <w:rPr>
                <w:rFonts w:eastAsia="仿宋_GB2312"/>
                <w:b/>
                <w:color w:val="auto"/>
                <w:sz w:val="24"/>
              </w:rPr>
            </w:pPr>
          </w:p>
        </w:tc>
      </w:tr>
    </w:tbl>
    <w:p>
      <w:pPr>
        <w:spacing w:line="520" w:lineRule="exact"/>
        <w:rPr>
          <w:rFonts w:eastAsia="仿宋_GB2312"/>
          <w:color w:val="auto"/>
          <w:sz w:val="24"/>
        </w:rPr>
      </w:pPr>
      <w:r>
        <w:rPr>
          <w:rFonts w:hint="eastAsia" w:eastAsia="仿宋_GB2312"/>
          <w:color w:val="auto"/>
          <w:sz w:val="24"/>
        </w:rPr>
        <w:t>核查组长签名：                        申请人意见：</w:t>
      </w:r>
    </w:p>
    <w:p>
      <w:pPr>
        <w:spacing w:line="520" w:lineRule="exact"/>
        <w:rPr>
          <w:rFonts w:eastAsia="仿宋_GB2312"/>
          <w:color w:val="auto"/>
          <w:sz w:val="24"/>
        </w:rPr>
      </w:pPr>
      <w:r>
        <w:rPr>
          <w:rFonts w:hint="eastAsia" w:eastAsia="仿宋_GB2312"/>
          <w:color w:val="auto"/>
          <w:sz w:val="24"/>
        </w:rPr>
        <w:t>核查组员签名：</w:t>
      </w:r>
    </w:p>
    <w:p>
      <w:pPr>
        <w:spacing w:line="520" w:lineRule="exact"/>
        <w:rPr>
          <w:rFonts w:eastAsia="仿宋_GB2312"/>
          <w:color w:val="auto"/>
          <w:sz w:val="24"/>
        </w:rPr>
      </w:pPr>
      <w:r>
        <w:rPr>
          <w:rFonts w:hint="eastAsia" w:eastAsia="仿宋_GB2312"/>
          <w:color w:val="auto"/>
          <w:sz w:val="24"/>
        </w:rPr>
        <w:t>观察员签名：                          申请人签名（盖章）：</w:t>
      </w:r>
    </w:p>
    <w:p>
      <w:pPr>
        <w:spacing w:line="520" w:lineRule="exact"/>
        <w:ind w:right="-426" w:rightChars="-203" w:firstLine="600" w:firstLineChars="250"/>
        <w:rPr>
          <w:rFonts w:eastAsia="仿宋_GB2312"/>
          <w:color w:val="auto"/>
          <w:sz w:val="24"/>
        </w:rPr>
      </w:pPr>
      <w:r>
        <w:rPr>
          <w:rFonts w:hint="eastAsia" w:eastAsia="仿宋_GB2312"/>
          <w:color w:val="auto"/>
          <w:sz w:val="24"/>
        </w:rPr>
        <w:t xml:space="preserve">      年   月   日                                    年    月   日</w:t>
      </w:r>
    </w:p>
    <w:p>
      <w:pPr>
        <w:spacing w:line="440" w:lineRule="exact"/>
        <w:ind w:firstLine="600" w:firstLineChars="250"/>
        <w:rPr>
          <w:rFonts w:eastAsia="仿宋_GB2312"/>
          <w:color w:val="auto"/>
          <w:sz w:val="24"/>
        </w:rPr>
      </w:pPr>
    </w:p>
    <w:p>
      <w:pPr>
        <w:tabs>
          <w:tab w:val="left" w:pos="210"/>
        </w:tabs>
        <w:spacing w:line="240" w:lineRule="exact"/>
        <w:jc w:val="left"/>
        <w:rPr>
          <w:rFonts w:eastAsia="仿宋_GB2312"/>
          <w:color w:val="auto"/>
          <w:sz w:val="18"/>
          <w:szCs w:val="18"/>
        </w:rPr>
      </w:pPr>
      <w:r>
        <w:rPr>
          <w:rFonts w:hint="eastAsia" w:eastAsia="仿宋_GB2312"/>
          <w:color w:val="auto"/>
          <w:sz w:val="18"/>
        </w:rPr>
        <w:t>注：</w:t>
      </w:r>
      <w:r>
        <w:rPr>
          <w:rFonts w:eastAsia="仿宋_GB2312"/>
          <w:color w:val="auto"/>
          <w:sz w:val="18"/>
          <w:szCs w:val="18"/>
        </w:rPr>
        <w:t xml:space="preserve">1. </w:t>
      </w:r>
      <w:r>
        <w:rPr>
          <w:rFonts w:hint="eastAsia" w:eastAsia="仿宋_GB2312"/>
          <w:color w:val="auto"/>
          <w:sz w:val="18"/>
          <w:szCs w:val="18"/>
        </w:rPr>
        <w:t>申请人申请多个类别名称的，应当按照类别名称分别填写本页；</w:t>
      </w:r>
    </w:p>
    <w:p>
      <w:pPr>
        <w:tabs>
          <w:tab w:val="left" w:pos="210"/>
        </w:tabs>
        <w:spacing w:line="240" w:lineRule="exact"/>
        <w:ind w:firstLine="360" w:firstLineChars="200"/>
        <w:jc w:val="left"/>
        <w:rPr>
          <w:color w:val="auto"/>
        </w:rPr>
      </w:pPr>
      <w:r>
        <w:rPr>
          <w:rFonts w:eastAsia="仿宋_GB2312"/>
          <w:color w:val="auto"/>
          <w:sz w:val="18"/>
          <w:szCs w:val="18"/>
        </w:rPr>
        <w:t>2. “</w:t>
      </w:r>
      <w:r>
        <w:rPr>
          <w:rFonts w:hint="eastAsia" w:eastAsia="仿宋_GB2312"/>
          <w:color w:val="auto"/>
          <w:sz w:val="18"/>
          <w:szCs w:val="18"/>
        </w:rPr>
        <w:t>现场核查发现的问题</w:t>
      </w:r>
      <w:r>
        <w:rPr>
          <w:rFonts w:eastAsia="仿宋_GB2312"/>
          <w:color w:val="auto"/>
          <w:sz w:val="18"/>
          <w:szCs w:val="18"/>
        </w:rPr>
        <w:t>”</w:t>
      </w:r>
      <w:r>
        <w:rPr>
          <w:rFonts w:hint="eastAsia" w:eastAsia="仿宋_GB2312"/>
          <w:color w:val="auto"/>
          <w:sz w:val="18"/>
          <w:szCs w:val="18"/>
        </w:rPr>
        <w:t>应当详细描述申请人扣分情况；核查结论为</w:t>
      </w:r>
      <w:r>
        <w:rPr>
          <w:rFonts w:eastAsia="仿宋_GB2312"/>
          <w:color w:val="auto"/>
          <w:sz w:val="18"/>
          <w:szCs w:val="18"/>
        </w:rPr>
        <w:t>“</w:t>
      </w:r>
      <w:r>
        <w:rPr>
          <w:rFonts w:hint="eastAsia" w:eastAsia="仿宋_GB2312"/>
          <w:color w:val="auto"/>
          <w:sz w:val="18"/>
          <w:szCs w:val="18"/>
        </w:rPr>
        <w:t>通过</w:t>
      </w:r>
      <w:r>
        <w:rPr>
          <w:rFonts w:eastAsia="仿宋_GB2312"/>
          <w:color w:val="auto"/>
          <w:sz w:val="18"/>
          <w:szCs w:val="18"/>
        </w:rPr>
        <w:t>”</w:t>
      </w:r>
      <w:r>
        <w:rPr>
          <w:rFonts w:hint="eastAsia" w:eastAsia="仿宋_GB2312"/>
          <w:color w:val="auto"/>
          <w:sz w:val="18"/>
          <w:szCs w:val="18"/>
        </w:rPr>
        <w:t>的类别名称，如有整改项目，应当在报告中注明；核查结论为</w:t>
      </w:r>
      <w:r>
        <w:rPr>
          <w:rFonts w:eastAsia="仿宋_GB2312"/>
          <w:color w:val="auto"/>
          <w:sz w:val="18"/>
          <w:szCs w:val="18"/>
        </w:rPr>
        <w:t>“</w:t>
      </w:r>
      <w:r>
        <w:rPr>
          <w:rFonts w:hint="eastAsia" w:eastAsia="仿宋_GB2312"/>
          <w:color w:val="auto"/>
          <w:sz w:val="18"/>
          <w:szCs w:val="18"/>
        </w:rPr>
        <w:t>未通过</w:t>
      </w:r>
      <w:r>
        <w:rPr>
          <w:rFonts w:eastAsia="仿宋_GB2312"/>
          <w:color w:val="auto"/>
          <w:sz w:val="18"/>
          <w:szCs w:val="18"/>
        </w:rPr>
        <w:t>”</w:t>
      </w:r>
      <w:r>
        <w:rPr>
          <w:rFonts w:hint="eastAsia" w:eastAsia="仿宋_GB2312"/>
          <w:color w:val="auto"/>
          <w:sz w:val="18"/>
          <w:szCs w:val="18"/>
        </w:rPr>
        <w:t>的类别名称，应当注明否决项目；对于无法正常开展现场核查的，其具体原因应当注明。</w:t>
      </w:r>
    </w:p>
    <w:p>
      <w:pPr>
        <w:widowControl/>
        <w:jc w:val="left"/>
        <w:rPr>
          <w:rFonts w:ascii="黑体" w:hAnsi="黑体" w:eastAsia="黑体"/>
          <w:color w:val="auto"/>
          <w:sz w:val="32"/>
          <w:szCs w:val="32"/>
        </w:rPr>
      </w:pPr>
      <w:r>
        <w:rPr>
          <w:rFonts w:ascii="黑体" w:hAnsi="黑体" w:eastAsia="黑体"/>
          <w:color w:val="auto"/>
          <w:sz w:val="32"/>
          <w:szCs w:val="32"/>
        </w:rPr>
        <w:br w:type="page"/>
      </w:r>
    </w:p>
    <w:p>
      <w:pPr>
        <w:spacing w:line="600" w:lineRule="exact"/>
        <w:outlineLvl w:val="0"/>
        <w:rPr>
          <w:rFonts w:ascii="黑体" w:hAnsi="黑体" w:eastAsia="黑体"/>
          <w:color w:val="auto"/>
          <w:sz w:val="32"/>
          <w:szCs w:val="32"/>
        </w:rPr>
      </w:pPr>
      <w:r>
        <w:rPr>
          <w:rFonts w:hint="eastAsia" w:ascii="黑体" w:hAnsi="黑体" w:eastAsia="黑体"/>
          <w:color w:val="auto"/>
          <w:sz w:val="32"/>
          <w:szCs w:val="32"/>
        </w:rPr>
        <w:t>附件4</w:t>
      </w:r>
    </w:p>
    <w:p>
      <w:pPr>
        <w:spacing w:line="600" w:lineRule="exact"/>
        <w:ind w:firstLine="640" w:firstLineChars="200"/>
        <w:rPr>
          <w:rFonts w:ascii="黑体" w:hAnsi="黑体" w:eastAsia="黑体"/>
          <w:color w:val="auto"/>
          <w:sz w:val="32"/>
          <w:szCs w:val="32"/>
        </w:rPr>
      </w:pPr>
    </w:p>
    <w:p>
      <w:pPr>
        <w:spacing w:line="600" w:lineRule="exact"/>
        <w:jc w:val="center"/>
        <w:rPr>
          <w:rFonts w:ascii="方正小标宋简体" w:eastAsia="方正小标宋简体" w:cs="方正小标宋简体"/>
          <w:color w:val="auto"/>
          <w:sz w:val="44"/>
          <w:szCs w:val="44"/>
        </w:rPr>
      </w:pPr>
      <w:r>
        <w:rPr>
          <w:rFonts w:hint="eastAsia" w:ascii="方正小标宋简体" w:eastAsia="方正小标宋简体" w:cs="方正小标宋简体"/>
          <w:color w:val="auto"/>
          <w:sz w:val="44"/>
          <w:szCs w:val="44"/>
        </w:rPr>
        <w:t>食品、食品添加剂生产许可核查材料清单</w:t>
      </w:r>
    </w:p>
    <w:p>
      <w:pPr>
        <w:shd w:val="clear" w:color="auto" w:fill="FFFFFF" w:themeFill="background1"/>
        <w:spacing w:line="600" w:lineRule="exact"/>
        <w:ind w:firstLine="640" w:firstLineChars="200"/>
        <w:rPr>
          <w:rFonts w:ascii="Times New Roman" w:hAnsi="Times New Roman" w:eastAsia="仿宋_GB2312" w:cs="Times New Roman"/>
          <w:color w:val="auto"/>
          <w:sz w:val="32"/>
          <w:szCs w:val="32"/>
        </w:rPr>
      </w:pPr>
    </w:p>
    <w:p>
      <w:pPr>
        <w:shd w:val="clear" w:color="auto" w:fill="FFFFFF" w:themeFill="background1"/>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rPr>
        <w:t xml:space="preserve"> 《食品生产许可申请书》及其随附材料；</w:t>
      </w:r>
    </w:p>
    <w:p>
      <w:pPr>
        <w:shd w:val="clear" w:color="auto" w:fill="FFFFFF" w:themeFill="background1"/>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rPr>
        <w:t xml:space="preserve"> 食品生产加工场所周围环境平面图；</w:t>
      </w:r>
    </w:p>
    <w:p>
      <w:pPr>
        <w:shd w:val="clear" w:color="auto" w:fill="FFFFFF" w:themeFill="background1"/>
        <w:spacing w:line="600" w:lineRule="exact"/>
        <w:ind w:firstLine="640" w:firstLineChars="200"/>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 食品生产加工场所平面图；</w:t>
      </w:r>
    </w:p>
    <w:p>
      <w:pPr>
        <w:shd w:val="clear" w:color="auto" w:fill="FFFFFF" w:themeFill="background1"/>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4.</w:t>
      </w:r>
      <w:r>
        <w:rPr>
          <w:rFonts w:hint="eastAsia" w:ascii="Times New Roman" w:hAnsi="Times New Roman" w:eastAsia="仿宋_GB2312" w:cs="Times New Roman"/>
          <w:color w:val="auto"/>
          <w:sz w:val="32"/>
          <w:szCs w:val="32"/>
        </w:rPr>
        <w:t xml:space="preserve"> 食品生产加工场所各功能区间布局平面图；</w:t>
      </w:r>
    </w:p>
    <w:p>
      <w:pPr>
        <w:shd w:val="clear" w:color="auto" w:fill="FFFFFF" w:themeFill="background1"/>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5.</w:t>
      </w:r>
      <w:r>
        <w:rPr>
          <w:rFonts w:hint="eastAsia" w:ascii="Times New Roman" w:hAnsi="Times New Roman" w:eastAsia="仿宋_GB2312" w:cs="Times New Roman"/>
          <w:color w:val="auto"/>
          <w:sz w:val="32"/>
          <w:szCs w:val="32"/>
        </w:rPr>
        <w:t xml:space="preserve"> 《食品生产许可现场核查通知书》；</w:t>
      </w:r>
    </w:p>
    <w:p>
      <w:pPr>
        <w:shd w:val="clear" w:color="auto" w:fill="FFFFFF" w:themeFill="background1"/>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6. </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pacing w:val="-10"/>
          <w:sz w:val="32"/>
          <w:szCs w:val="32"/>
        </w:rPr>
        <w:t>食品、食品添加剂生产许可现场核查首末次会议签到表》；</w:t>
      </w:r>
    </w:p>
    <w:p>
      <w:pPr>
        <w:shd w:val="clear" w:color="auto" w:fill="FFFFFF" w:themeFill="background1"/>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7.</w:t>
      </w:r>
      <w:r>
        <w:rPr>
          <w:rFonts w:hint="eastAsia" w:ascii="Times New Roman" w:hAnsi="Times New Roman" w:eastAsia="仿宋_GB2312" w:cs="Times New Roman"/>
          <w:color w:val="auto"/>
          <w:sz w:val="32"/>
          <w:szCs w:val="32"/>
        </w:rPr>
        <w:t xml:space="preserve"> 《食品、食品添加剂生产许可现场核查评分记录表》；</w:t>
      </w:r>
    </w:p>
    <w:p>
      <w:pPr>
        <w:shd w:val="clear" w:color="auto" w:fill="FFFFFF" w:themeFill="background1"/>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8.</w:t>
      </w:r>
      <w:r>
        <w:rPr>
          <w:rFonts w:hint="eastAsia" w:ascii="Times New Roman" w:hAnsi="Times New Roman" w:eastAsia="仿宋_GB2312" w:cs="Times New Roman"/>
          <w:color w:val="auto"/>
          <w:sz w:val="32"/>
          <w:szCs w:val="32"/>
        </w:rPr>
        <w:t xml:space="preserve"> 《食品、食品添加剂生产许可现场核查报告》；</w:t>
      </w:r>
    </w:p>
    <w:p>
      <w:pPr>
        <w:shd w:val="clear" w:color="auto" w:fill="FFFFFF" w:themeFill="background1"/>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9</w:t>
      </w:r>
      <w:r>
        <w:rPr>
          <w:rFonts w:hint="eastAsia" w:ascii="Times New Roman" w:hAnsi="Times New Roman" w:eastAsia="仿宋_GB2312" w:cs="Times New Roman"/>
          <w:color w:val="auto"/>
          <w:sz w:val="32"/>
          <w:szCs w:val="32"/>
        </w:rPr>
        <w:t>. 产品</w:t>
      </w:r>
      <w:r>
        <w:rPr>
          <w:rFonts w:ascii="Times New Roman" w:hAnsi="Times New Roman" w:eastAsia="仿宋_GB2312" w:cs="Times New Roman"/>
          <w:color w:val="auto"/>
          <w:sz w:val="32"/>
          <w:szCs w:val="32"/>
        </w:rPr>
        <w:t>执行非食品安全国家标准</w:t>
      </w:r>
      <w:r>
        <w:rPr>
          <w:rFonts w:hint="eastAsia" w:ascii="Times New Roman" w:hAnsi="Times New Roman" w:eastAsia="仿宋_GB2312" w:cs="Times New Roman"/>
          <w:color w:val="auto"/>
          <w:sz w:val="32"/>
          <w:szCs w:val="32"/>
        </w:rPr>
        <w:t>的</w:t>
      </w:r>
      <w:r>
        <w:rPr>
          <w:rFonts w:ascii="Times New Roman" w:hAnsi="Times New Roman" w:eastAsia="仿宋_GB2312" w:cs="Times New Roman"/>
          <w:color w:val="auto"/>
          <w:sz w:val="32"/>
          <w:szCs w:val="32"/>
        </w:rPr>
        <w:t>标准文本</w:t>
      </w:r>
      <w:r>
        <w:rPr>
          <w:rFonts w:hint="eastAsia" w:ascii="Times New Roman" w:hAnsi="Times New Roman" w:eastAsia="仿宋_GB2312" w:cs="Times New Roman"/>
          <w:color w:val="auto"/>
          <w:sz w:val="32"/>
          <w:szCs w:val="32"/>
        </w:rPr>
        <w:t>；</w:t>
      </w:r>
    </w:p>
    <w:p>
      <w:pPr>
        <w:shd w:val="clear" w:color="auto" w:fill="FFFFFF" w:themeFill="background1"/>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10. </w:t>
      </w:r>
      <w:r>
        <w:rPr>
          <w:rFonts w:hint="eastAsia" w:ascii="Times New Roman" w:hAnsi="Times New Roman" w:eastAsia="仿宋_GB2312" w:cs="Times New Roman"/>
          <w:color w:val="auto"/>
          <w:sz w:val="32"/>
          <w:szCs w:val="32"/>
        </w:rPr>
        <w:t>试制产品</w:t>
      </w:r>
      <w:r>
        <w:rPr>
          <w:rFonts w:ascii="Times New Roman" w:hAnsi="Times New Roman" w:eastAsia="仿宋_GB2312" w:cs="Times New Roman"/>
          <w:color w:val="auto"/>
          <w:sz w:val="32"/>
          <w:szCs w:val="32"/>
        </w:rPr>
        <w:t>检验报告；</w:t>
      </w:r>
    </w:p>
    <w:p>
      <w:pPr>
        <w:shd w:val="clear" w:color="auto" w:fill="FFFFFF" w:themeFill="background1"/>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11.</w:t>
      </w:r>
      <w:r>
        <w:rPr>
          <w:rFonts w:hint="eastAsia" w:ascii="Times New Roman" w:hAnsi="Times New Roman" w:eastAsia="仿宋_GB2312" w:cs="Times New Roman"/>
          <w:color w:val="auto"/>
          <w:sz w:val="32"/>
          <w:szCs w:val="32"/>
        </w:rPr>
        <w:t xml:space="preserve"> 许可机关要求提交的其他材料。</w:t>
      </w:r>
    </w:p>
    <w:sectPr>
      <w:pgSz w:w="11906" w:h="16838"/>
      <w:pgMar w:top="1985" w:right="1474" w:bottom="1644" w:left="1474" w:header="1134" w:footer="1134" w:gutter="0"/>
      <w:pgNumType w:fmt="numberInDash"/>
      <w:cols w:space="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楷体简体">
    <w:altName w:val="楷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altName w:val="方正仿宋_GBK"/>
    <w:panose1 w:val="00000000000000000000"/>
    <w:charset w:val="86"/>
    <w:family w:val="auto"/>
    <w:pitch w:val="default"/>
    <w:sig w:usb0="00000000" w:usb1="00000000" w:usb2="00000010" w:usb3="00000000" w:csb0="00040000" w:csb1="00000000"/>
  </w:font>
  <w:font w:name="方正大标宋简体">
    <w:altName w:val="方正书宋_GBK"/>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oto Sans CJK SC">
    <w:panose1 w:val="020B0600000000000000"/>
    <w:charset w:val="86"/>
    <w:family w:val="auto"/>
    <w:pitch w:val="default"/>
    <w:sig w:usb0="30000083" w:usb1="2BDF3C10" w:usb2="00000016" w:usb3="00000000" w:csb0="602E0107" w:csb1="00000000"/>
  </w:font>
  <w:font w:name="Tahoma">
    <w:altName w:val="Droid Sans"/>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Times New Roman" w:hAnsi="Times New Roman" w:cs="Times New Roman"/>
        <w:sz w:val="24"/>
        <w:szCs w:val="24"/>
      </w:rPr>
    </w:pPr>
    <w:r>
      <w:rPr>
        <w:sz w:val="24"/>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sz w:val="24"/>
                              <w:szCs w:val="24"/>
                            </w:rPr>
                            <w:id w:val="0"/>
                          </w:sdtPr>
                          <w:sdtEndPr>
                            <w:rPr>
                              <w:rFonts w:ascii="Times New Roman" w:hAnsi="Times New Roman" w:cs="Times New Roman"/>
                              <w:sz w:val="24"/>
                              <w:szCs w:val="24"/>
                            </w:rPr>
                          </w:sdtEndPr>
                          <w:sdtContent>
                            <w:p>
                              <w:pPr>
                                <w:pStyle w:val="8"/>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w:t>
                              </w:r>
                              <w:r>
                                <w:rPr>
                                  <w:rFonts w:ascii="Times New Roman" w:hAnsi="Times New Roman" w:cs="Times New Roman"/>
                                  <w:sz w:val="24"/>
                                  <w:szCs w:val="24"/>
                                </w:rPr>
                                <w:t xml:space="preserve"> 12 -</w:t>
                              </w:r>
                              <w:r>
                                <w:rPr>
                                  <w:rFonts w:ascii="Times New Roman" w:hAnsi="Times New Roman" w:cs="Times New Roman"/>
                                  <w:sz w:val="24"/>
                                  <w:szCs w:val="24"/>
                                </w:rPr>
                                <w:fldChar w:fldCharType="end"/>
                              </w:r>
                            </w:p>
                          </w:sdtContent>
                        </w:sdt>
                        <w:p>
                          <w:pPr>
                            <w:rPr>
                              <w:rFonts w:ascii="Times New Roman" w:hAnsi="Times New Roman" w:cs="Times New Roman"/>
                              <w:sz w:val="24"/>
                              <w:szCs w:val="24"/>
                            </w:rPr>
                          </w:pP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sdt>
                    <w:sdtPr>
                      <w:rPr>
                        <w:rFonts w:ascii="Times New Roman" w:hAnsi="Times New Roman" w:cs="Times New Roman"/>
                        <w:sz w:val="24"/>
                        <w:szCs w:val="24"/>
                      </w:rPr>
                      <w:id w:val="0"/>
                    </w:sdtPr>
                    <w:sdtEndPr>
                      <w:rPr>
                        <w:rFonts w:ascii="Times New Roman" w:hAnsi="Times New Roman" w:cs="Times New Roman"/>
                        <w:sz w:val="24"/>
                        <w:szCs w:val="24"/>
                      </w:rPr>
                    </w:sdtEndPr>
                    <w:sdtContent>
                      <w:p>
                        <w:pPr>
                          <w:pStyle w:val="8"/>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w:t>
                        </w:r>
                        <w:r>
                          <w:rPr>
                            <w:rFonts w:ascii="Times New Roman" w:hAnsi="Times New Roman" w:cs="Times New Roman"/>
                            <w:sz w:val="24"/>
                            <w:szCs w:val="24"/>
                          </w:rPr>
                          <w:t xml:space="preserve"> 12 -</w:t>
                        </w:r>
                        <w:r>
                          <w:rPr>
                            <w:rFonts w:ascii="Times New Roman" w:hAnsi="Times New Roman" w:cs="Times New Roman"/>
                            <w:sz w:val="24"/>
                            <w:szCs w:val="24"/>
                          </w:rPr>
                          <w:fldChar w:fldCharType="end"/>
                        </w:r>
                      </w:p>
                    </w:sdtContent>
                  </w:sdt>
                  <w:p>
                    <w:pPr>
                      <w:rPr>
                        <w:rFonts w:ascii="Times New Roman" w:hAnsi="Times New Roman" w:cs="Times New Roman"/>
                        <w:sz w:val="24"/>
                        <w:szCs w:val="24"/>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true"/>
  <w:bordersDoNotSurroundFooter w:val="true"/>
  <w:trackRevisions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EF8"/>
    <w:rsid w:val="0000156A"/>
    <w:rsid w:val="00002D39"/>
    <w:rsid w:val="00003101"/>
    <w:rsid w:val="00004845"/>
    <w:rsid w:val="00007D11"/>
    <w:rsid w:val="00012F8C"/>
    <w:rsid w:val="000218BE"/>
    <w:rsid w:val="000302B0"/>
    <w:rsid w:val="000312FA"/>
    <w:rsid w:val="000330A8"/>
    <w:rsid w:val="00040FEB"/>
    <w:rsid w:val="000425F6"/>
    <w:rsid w:val="00043BED"/>
    <w:rsid w:val="00047FF1"/>
    <w:rsid w:val="0005029F"/>
    <w:rsid w:val="00057077"/>
    <w:rsid w:val="00065DE1"/>
    <w:rsid w:val="000719B4"/>
    <w:rsid w:val="00072FA1"/>
    <w:rsid w:val="00073442"/>
    <w:rsid w:val="000743A4"/>
    <w:rsid w:val="00097549"/>
    <w:rsid w:val="0009763E"/>
    <w:rsid w:val="000A303D"/>
    <w:rsid w:val="000A4B65"/>
    <w:rsid w:val="000A701B"/>
    <w:rsid w:val="000A763B"/>
    <w:rsid w:val="000B20BF"/>
    <w:rsid w:val="000B6A75"/>
    <w:rsid w:val="000B7AA3"/>
    <w:rsid w:val="000E7480"/>
    <w:rsid w:val="000E7B54"/>
    <w:rsid w:val="000F5F56"/>
    <w:rsid w:val="00102832"/>
    <w:rsid w:val="00103A89"/>
    <w:rsid w:val="00105E70"/>
    <w:rsid w:val="00111B96"/>
    <w:rsid w:val="00113141"/>
    <w:rsid w:val="00115688"/>
    <w:rsid w:val="001209F5"/>
    <w:rsid w:val="0013018A"/>
    <w:rsid w:val="00132168"/>
    <w:rsid w:val="00137114"/>
    <w:rsid w:val="001411C9"/>
    <w:rsid w:val="00154214"/>
    <w:rsid w:val="0016528E"/>
    <w:rsid w:val="001741DB"/>
    <w:rsid w:val="001830B0"/>
    <w:rsid w:val="001869F8"/>
    <w:rsid w:val="00186F72"/>
    <w:rsid w:val="00193676"/>
    <w:rsid w:val="001950A1"/>
    <w:rsid w:val="00197C01"/>
    <w:rsid w:val="001A2021"/>
    <w:rsid w:val="001A3E1B"/>
    <w:rsid w:val="001A4504"/>
    <w:rsid w:val="001A5D0C"/>
    <w:rsid w:val="001A6479"/>
    <w:rsid w:val="001B580F"/>
    <w:rsid w:val="001C7764"/>
    <w:rsid w:val="001D15B4"/>
    <w:rsid w:val="001D27B2"/>
    <w:rsid w:val="001D3115"/>
    <w:rsid w:val="001D7397"/>
    <w:rsid w:val="001E35C8"/>
    <w:rsid w:val="001E53ED"/>
    <w:rsid w:val="001E5727"/>
    <w:rsid w:val="001E57A9"/>
    <w:rsid w:val="001E5DC6"/>
    <w:rsid w:val="001E773F"/>
    <w:rsid w:val="001F0FE9"/>
    <w:rsid w:val="001F1762"/>
    <w:rsid w:val="001F7B7D"/>
    <w:rsid w:val="00205D9A"/>
    <w:rsid w:val="0021612F"/>
    <w:rsid w:val="002210A9"/>
    <w:rsid w:val="00221CB1"/>
    <w:rsid w:val="00222C9A"/>
    <w:rsid w:val="00223DE8"/>
    <w:rsid w:val="0023092F"/>
    <w:rsid w:val="00234323"/>
    <w:rsid w:val="00240095"/>
    <w:rsid w:val="0024477C"/>
    <w:rsid w:val="00250CBA"/>
    <w:rsid w:val="00252223"/>
    <w:rsid w:val="0025406D"/>
    <w:rsid w:val="00257565"/>
    <w:rsid w:val="00271DA3"/>
    <w:rsid w:val="00277F64"/>
    <w:rsid w:val="00280D17"/>
    <w:rsid w:val="002815EE"/>
    <w:rsid w:val="00283172"/>
    <w:rsid w:val="00284C6E"/>
    <w:rsid w:val="00297FAD"/>
    <w:rsid w:val="002A2669"/>
    <w:rsid w:val="002B6EEB"/>
    <w:rsid w:val="002C5917"/>
    <w:rsid w:val="002D3D3A"/>
    <w:rsid w:val="002D40C9"/>
    <w:rsid w:val="002D779B"/>
    <w:rsid w:val="002E08AB"/>
    <w:rsid w:val="002E5EAE"/>
    <w:rsid w:val="002F3A38"/>
    <w:rsid w:val="002F426B"/>
    <w:rsid w:val="002F5091"/>
    <w:rsid w:val="003004BE"/>
    <w:rsid w:val="0030062A"/>
    <w:rsid w:val="00300762"/>
    <w:rsid w:val="00302024"/>
    <w:rsid w:val="003072C3"/>
    <w:rsid w:val="00314F09"/>
    <w:rsid w:val="003155D7"/>
    <w:rsid w:val="003220BD"/>
    <w:rsid w:val="00323166"/>
    <w:rsid w:val="0032747A"/>
    <w:rsid w:val="00327B54"/>
    <w:rsid w:val="00330876"/>
    <w:rsid w:val="00330C9C"/>
    <w:rsid w:val="00330EC9"/>
    <w:rsid w:val="003333DF"/>
    <w:rsid w:val="00333ED2"/>
    <w:rsid w:val="00336E5C"/>
    <w:rsid w:val="00344A8E"/>
    <w:rsid w:val="00345BAF"/>
    <w:rsid w:val="00352FF9"/>
    <w:rsid w:val="003534B4"/>
    <w:rsid w:val="0035573E"/>
    <w:rsid w:val="00362096"/>
    <w:rsid w:val="00366DEC"/>
    <w:rsid w:val="003672F8"/>
    <w:rsid w:val="00372425"/>
    <w:rsid w:val="00374752"/>
    <w:rsid w:val="00381EBA"/>
    <w:rsid w:val="003918BF"/>
    <w:rsid w:val="0039223E"/>
    <w:rsid w:val="003A122F"/>
    <w:rsid w:val="003A4B20"/>
    <w:rsid w:val="003A4FCC"/>
    <w:rsid w:val="003A52A0"/>
    <w:rsid w:val="003A6268"/>
    <w:rsid w:val="003B2131"/>
    <w:rsid w:val="003B46D6"/>
    <w:rsid w:val="003B5534"/>
    <w:rsid w:val="003C232F"/>
    <w:rsid w:val="003C424D"/>
    <w:rsid w:val="003C4756"/>
    <w:rsid w:val="003C6F4E"/>
    <w:rsid w:val="003D4B46"/>
    <w:rsid w:val="003D546D"/>
    <w:rsid w:val="003D7CC4"/>
    <w:rsid w:val="003D7D46"/>
    <w:rsid w:val="004041D5"/>
    <w:rsid w:val="0040472B"/>
    <w:rsid w:val="00410F9E"/>
    <w:rsid w:val="00411171"/>
    <w:rsid w:val="00411936"/>
    <w:rsid w:val="00414D0E"/>
    <w:rsid w:val="004311FD"/>
    <w:rsid w:val="0043230A"/>
    <w:rsid w:val="00435477"/>
    <w:rsid w:val="0044079A"/>
    <w:rsid w:val="004656F8"/>
    <w:rsid w:val="00471DD8"/>
    <w:rsid w:val="0047756E"/>
    <w:rsid w:val="0048301A"/>
    <w:rsid w:val="00485579"/>
    <w:rsid w:val="00485727"/>
    <w:rsid w:val="00486012"/>
    <w:rsid w:val="0048608F"/>
    <w:rsid w:val="00491D47"/>
    <w:rsid w:val="004942F3"/>
    <w:rsid w:val="004958ED"/>
    <w:rsid w:val="004A7043"/>
    <w:rsid w:val="004B2CF3"/>
    <w:rsid w:val="004B337B"/>
    <w:rsid w:val="004B370D"/>
    <w:rsid w:val="004B3F36"/>
    <w:rsid w:val="004B49DB"/>
    <w:rsid w:val="004B7C31"/>
    <w:rsid w:val="004B7D5F"/>
    <w:rsid w:val="004C2DA4"/>
    <w:rsid w:val="004C3E6F"/>
    <w:rsid w:val="004C6C3B"/>
    <w:rsid w:val="004D21AF"/>
    <w:rsid w:val="004D59E9"/>
    <w:rsid w:val="004D5B6C"/>
    <w:rsid w:val="004F71F7"/>
    <w:rsid w:val="005045AB"/>
    <w:rsid w:val="00505752"/>
    <w:rsid w:val="0051174F"/>
    <w:rsid w:val="005179E0"/>
    <w:rsid w:val="00522B59"/>
    <w:rsid w:val="00527B11"/>
    <w:rsid w:val="00530FD4"/>
    <w:rsid w:val="00531219"/>
    <w:rsid w:val="0053167B"/>
    <w:rsid w:val="0053178E"/>
    <w:rsid w:val="00532CB1"/>
    <w:rsid w:val="00535D18"/>
    <w:rsid w:val="00536283"/>
    <w:rsid w:val="00536405"/>
    <w:rsid w:val="00536EE6"/>
    <w:rsid w:val="005374FE"/>
    <w:rsid w:val="00553EDB"/>
    <w:rsid w:val="00560D56"/>
    <w:rsid w:val="00560F5E"/>
    <w:rsid w:val="0057242D"/>
    <w:rsid w:val="00586269"/>
    <w:rsid w:val="0059082E"/>
    <w:rsid w:val="005919FE"/>
    <w:rsid w:val="00593AF8"/>
    <w:rsid w:val="005A1E4B"/>
    <w:rsid w:val="005A6A95"/>
    <w:rsid w:val="005B71CA"/>
    <w:rsid w:val="005D08B1"/>
    <w:rsid w:val="005D155E"/>
    <w:rsid w:val="005F22DE"/>
    <w:rsid w:val="005F37EF"/>
    <w:rsid w:val="0060514F"/>
    <w:rsid w:val="006055F5"/>
    <w:rsid w:val="006103AD"/>
    <w:rsid w:val="00613328"/>
    <w:rsid w:val="00621CF7"/>
    <w:rsid w:val="00623C3A"/>
    <w:rsid w:val="006303AF"/>
    <w:rsid w:val="00630BD9"/>
    <w:rsid w:val="00634AB5"/>
    <w:rsid w:val="00645CDF"/>
    <w:rsid w:val="00646F51"/>
    <w:rsid w:val="00647744"/>
    <w:rsid w:val="00661A8D"/>
    <w:rsid w:val="00670F3D"/>
    <w:rsid w:val="0067133A"/>
    <w:rsid w:val="006724EF"/>
    <w:rsid w:val="0068156D"/>
    <w:rsid w:val="00691485"/>
    <w:rsid w:val="006923FB"/>
    <w:rsid w:val="006A48A7"/>
    <w:rsid w:val="006B46EE"/>
    <w:rsid w:val="006C0A15"/>
    <w:rsid w:val="006C418B"/>
    <w:rsid w:val="006C4BCA"/>
    <w:rsid w:val="006E68B7"/>
    <w:rsid w:val="006F08A8"/>
    <w:rsid w:val="006F528E"/>
    <w:rsid w:val="006F65C5"/>
    <w:rsid w:val="006F786B"/>
    <w:rsid w:val="007012DA"/>
    <w:rsid w:val="00703625"/>
    <w:rsid w:val="007061A1"/>
    <w:rsid w:val="00706221"/>
    <w:rsid w:val="00706277"/>
    <w:rsid w:val="007139F0"/>
    <w:rsid w:val="00716DC6"/>
    <w:rsid w:val="00732621"/>
    <w:rsid w:val="007368B6"/>
    <w:rsid w:val="00737A8C"/>
    <w:rsid w:val="007439EF"/>
    <w:rsid w:val="00744819"/>
    <w:rsid w:val="007541EF"/>
    <w:rsid w:val="00765F14"/>
    <w:rsid w:val="00766C2D"/>
    <w:rsid w:val="0076745A"/>
    <w:rsid w:val="00771061"/>
    <w:rsid w:val="0077355C"/>
    <w:rsid w:val="00774DBA"/>
    <w:rsid w:val="00776637"/>
    <w:rsid w:val="00776FF6"/>
    <w:rsid w:val="00777514"/>
    <w:rsid w:val="00780A39"/>
    <w:rsid w:val="00780B56"/>
    <w:rsid w:val="00781FB8"/>
    <w:rsid w:val="007879BF"/>
    <w:rsid w:val="00795DA4"/>
    <w:rsid w:val="00795F29"/>
    <w:rsid w:val="007966B6"/>
    <w:rsid w:val="007A1358"/>
    <w:rsid w:val="007A48B6"/>
    <w:rsid w:val="007B33BE"/>
    <w:rsid w:val="007B3E6E"/>
    <w:rsid w:val="007B4570"/>
    <w:rsid w:val="007B4C21"/>
    <w:rsid w:val="007C1B36"/>
    <w:rsid w:val="007C5FDD"/>
    <w:rsid w:val="007C70EC"/>
    <w:rsid w:val="007D2DF4"/>
    <w:rsid w:val="007D38F2"/>
    <w:rsid w:val="007D3EF8"/>
    <w:rsid w:val="007D4D6A"/>
    <w:rsid w:val="007D6E4F"/>
    <w:rsid w:val="007E4EE1"/>
    <w:rsid w:val="007E55EE"/>
    <w:rsid w:val="007E6708"/>
    <w:rsid w:val="007F219E"/>
    <w:rsid w:val="007F572B"/>
    <w:rsid w:val="00801D08"/>
    <w:rsid w:val="00806BA9"/>
    <w:rsid w:val="008115E7"/>
    <w:rsid w:val="00813FBB"/>
    <w:rsid w:val="00817101"/>
    <w:rsid w:val="00821392"/>
    <w:rsid w:val="008216C4"/>
    <w:rsid w:val="0082429B"/>
    <w:rsid w:val="00830D49"/>
    <w:rsid w:val="00833500"/>
    <w:rsid w:val="00836AE9"/>
    <w:rsid w:val="00836F7F"/>
    <w:rsid w:val="00853DEF"/>
    <w:rsid w:val="0086183A"/>
    <w:rsid w:val="00863643"/>
    <w:rsid w:val="0087046D"/>
    <w:rsid w:val="008719F5"/>
    <w:rsid w:val="00877ED9"/>
    <w:rsid w:val="008864E3"/>
    <w:rsid w:val="0089019C"/>
    <w:rsid w:val="008945FD"/>
    <w:rsid w:val="008958A2"/>
    <w:rsid w:val="0089708A"/>
    <w:rsid w:val="008A3BD0"/>
    <w:rsid w:val="008A554D"/>
    <w:rsid w:val="008B6607"/>
    <w:rsid w:val="008C346C"/>
    <w:rsid w:val="008C55C2"/>
    <w:rsid w:val="008C67E9"/>
    <w:rsid w:val="008D1E11"/>
    <w:rsid w:val="008D545B"/>
    <w:rsid w:val="008D5CD1"/>
    <w:rsid w:val="008D6193"/>
    <w:rsid w:val="008D7194"/>
    <w:rsid w:val="008E3DCF"/>
    <w:rsid w:val="008F0F02"/>
    <w:rsid w:val="0090021F"/>
    <w:rsid w:val="0090304A"/>
    <w:rsid w:val="009034BF"/>
    <w:rsid w:val="0091377F"/>
    <w:rsid w:val="009155D3"/>
    <w:rsid w:val="00916214"/>
    <w:rsid w:val="00916AEE"/>
    <w:rsid w:val="00921563"/>
    <w:rsid w:val="00925F4F"/>
    <w:rsid w:val="00930982"/>
    <w:rsid w:val="00940377"/>
    <w:rsid w:val="00953042"/>
    <w:rsid w:val="00955030"/>
    <w:rsid w:val="009624D8"/>
    <w:rsid w:val="00970201"/>
    <w:rsid w:val="00972AE3"/>
    <w:rsid w:val="00977260"/>
    <w:rsid w:val="00981643"/>
    <w:rsid w:val="00990E5B"/>
    <w:rsid w:val="009912A6"/>
    <w:rsid w:val="00992828"/>
    <w:rsid w:val="009A30A6"/>
    <w:rsid w:val="009B2396"/>
    <w:rsid w:val="009B75EA"/>
    <w:rsid w:val="009C10EB"/>
    <w:rsid w:val="009D446F"/>
    <w:rsid w:val="009E22DB"/>
    <w:rsid w:val="009E3E1B"/>
    <w:rsid w:val="009F27D2"/>
    <w:rsid w:val="00A05D8F"/>
    <w:rsid w:val="00A0781A"/>
    <w:rsid w:val="00A10326"/>
    <w:rsid w:val="00A20C6E"/>
    <w:rsid w:val="00A23CAC"/>
    <w:rsid w:val="00A27A8E"/>
    <w:rsid w:val="00A338A3"/>
    <w:rsid w:val="00A34916"/>
    <w:rsid w:val="00A35FC0"/>
    <w:rsid w:val="00A43623"/>
    <w:rsid w:val="00A51C9A"/>
    <w:rsid w:val="00A52298"/>
    <w:rsid w:val="00A5451B"/>
    <w:rsid w:val="00A61951"/>
    <w:rsid w:val="00A7599B"/>
    <w:rsid w:val="00A76F7B"/>
    <w:rsid w:val="00A77976"/>
    <w:rsid w:val="00A80963"/>
    <w:rsid w:val="00AA2F3E"/>
    <w:rsid w:val="00AA6CAB"/>
    <w:rsid w:val="00AC2D0F"/>
    <w:rsid w:val="00AC2D37"/>
    <w:rsid w:val="00AC2F22"/>
    <w:rsid w:val="00AC2FF5"/>
    <w:rsid w:val="00AD1856"/>
    <w:rsid w:val="00AD4DF9"/>
    <w:rsid w:val="00AD6BDA"/>
    <w:rsid w:val="00AD79FC"/>
    <w:rsid w:val="00AE14E3"/>
    <w:rsid w:val="00AE3C98"/>
    <w:rsid w:val="00AE700C"/>
    <w:rsid w:val="00AE79C4"/>
    <w:rsid w:val="00AF27FC"/>
    <w:rsid w:val="00AF5278"/>
    <w:rsid w:val="00AF7B57"/>
    <w:rsid w:val="00B04E79"/>
    <w:rsid w:val="00B07669"/>
    <w:rsid w:val="00B179A3"/>
    <w:rsid w:val="00B345BE"/>
    <w:rsid w:val="00B50CBF"/>
    <w:rsid w:val="00B54177"/>
    <w:rsid w:val="00B601F8"/>
    <w:rsid w:val="00B65F80"/>
    <w:rsid w:val="00B717EE"/>
    <w:rsid w:val="00B81006"/>
    <w:rsid w:val="00B83477"/>
    <w:rsid w:val="00B9653C"/>
    <w:rsid w:val="00BA20E5"/>
    <w:rsid w:val="00BA3ACF"/>
    <w:rsid w:val="00BA3DA0"/>
    <w:rsid w:val="00BA6453"/>
    <w:rsid w:val="00BA6AD0"/>
    <w:rsid w:val="00BB5A87"/>
    <w:rsid w:val="00BB6992"/>
    <w:rsid w:val="00BB70BA"/>
    <w:rsid w:val="00BB70E0"/>
    <w:rsid w:val="00BC5236"/>
    <w:rsid w:val="00BD6749"/>
    <w:rsid w:val="00BD781C"/>
    <w:rsid w:val="00BD7ABF"/>
    <w:rsid w:val="00BD7F46"/>
    <w:rsid w:val="00BE2C32"/>
    <w:rsid w:val="00BF27F1"/>
    <w:rsid w:val="00BF3E35"/>
    <w:rsid w:val="00BF5785"/>
    <w:rsid w:val="00BF5EF3"/>
    <w:rsid w:val="00C0399E"/>
    <w:rsid w:val="00C0402A"/>
    <w:rsid w:val="00C046CB"/>
    <w:rsid w:val="00C20204"/>
    <w:rsid w:val="00C2273F"/>
    <w:rsid w:val="00C31F77"/>
    <w:rsid w:val="00C3243B"/>
    <w:rsid w:val="00C36CF7"/>
    <w:rsid w:val="00C42A41"/>
    <w:rsid w:val="00C437D0"/>
    <w:rsid w:val="00C52A05"/>
    <w:rsid w:val="00C54171"/>
    <w:rsid w:val="00C54AE2"/>
    <w:rsid w:val="00C55CA8"/>
    <w:rsid w:val="00C6274A"/>
    <w:rsid w:val="00C65EAF"/>
    <w:rsid w:val="00C7277C"/>
    <w:rsid w:val="00C75F9B"/>
    <w:rsid w:val="00C84687"/>
    <w:rsid w:val="00C96749"/>
    <w:rsid w:val="00C96752"/>
    <w:rsid w:val="00CA3FC1"/>
    <w:rsid w:val="00CA6D3A"/>
    <w:rsid w:val="00CB049E"/>
    <w:rsid w:val="00CB1F73"/>
    <w:rsid w:val="00CB61EB"/>
    <w:rsid w:val="00CB750C"/>
    <w:rsid w:val="00CC3DB9"/>
    <w:rsid w:val="00CC587C"/>
    <w:rsid w:val="00CD245F"/>
    <w:rsid w:val="00CD2E26"/>
    <w:rsid w:val="00CD752C"/>
    <w:rsid w:val="00CE114D"/>
    <w:rsid w:val="00CE3438"/>
    <w:rsid w:val="00CE5229"/>
    <w:rsid w:val="00CF243B"/>
    <w:rsid w:val="00CF26AF"/>
    <w:rsid w:val="00CF5ED2"/>
    <w:rsid w:val="00D00078"/>
    <w:rsid w:val="00D078A9"/>
    <w:rsid w:val="00D1558F"/>
    <w:rsid w:val="00D155AC"/>
    <w:rsid w:val="00D20AA0"/>
    <w:rsid w:val="00D3022D"/>
    <w:rsid w:val="00D30951"/>
    <w:rsid w:val="00D332CE"/>
    <w:rsid w:val="00D35375"/>
    <w:rsid w:val="00D44E6F"/>
    <w:rsid w:val="00D57006"/>
    <w:rsid w:val="00D63A7C"/>
    <w:rsid w:val="00D647AC"/>
    <w:rsid w:val="00D66B04"/>
    <w:rsid w:val="00D706D3"/>
    <w:rsid w:val="00D74160"/>
    <w:rsid w:val="00D82302"/>
    <w:rsid w:val="00D84C82"/>
    <w:rsid w:val="00D94940"/>
    <w:rsid w:val="00D94E79"/>
    <w:rsid w:val="00DA1744"/>
    <w:rsid w:val="00DA1C95"/>
    <w:rsid w:val="00DA3A85"/>
    <w:rsid w:val="00DA66D0"/>
    <w:rsid w:val="00DB0070"/>
    <w:rsid w:val="00DB0BCB"/>
    <w:rsid w:val="00DB55EE"/>
    <w:rsid w:val="00DB7CFC"/>
    <w:rsid w:val="00DC2E02"/>
    <w:rsid w:val="00DC681B"/>
    <w:rsid w:val="00DC71FD"/>
    <w:rsid w:val="00DE4C3F"/>
    <w:rsid w:val="00DF0065"/>
    <w:rsid w:val="00E0221B"/>
    <w:rsid w:val="00E0636B"/>
    <w:rsid w:val="00E11E04"/>
    <w:rsid w:val="00E11F12"/>
    <w:rsid w:val="00E1237F"/>
    <w:rsid w:val="00E17A7E"/>
    <w:rsid w:val="00E2246C"/>
    <w:rsid w:val="00E22496"/>
    <w:rsid w:val="00E27BEB"/>
    <w:rsid w:val="00E31615"/>
    <w:rsid w:val="00E3606D"/>
    <w:rsid w:val="00E41A42"/>
    <w:rsid w:val="00E4341D"/>
    <w:rsid w:val="00E4489D"/>
    <w:rsid w:val="00E45118"/>
    <w:rsid w:val="00E45550"/>
    <w:rsid w:val="00E455B0"/>
    <w:rsid w:val="00E47FB0"/>
    <w:rsid w:val="00E5019A"/>
    <w:rsid w:val="00E51C7E"/>
    <w:rsid w:val="00E65232"/>
    <w:rsid w:val="00E71885"/>
    <w:rsid w:val="00E722C3"/>
    <w:rsid w:val="00E72B8D"/>
    <w:rsid w:val="00E752B7"/>
    <w:rsid w:val="00E77673"/>
    <w:rsid w:val="00E77F45"/>
    <w:rsid w:val="00E81054"/>
    <w:rsid w:val="00E81D4B"/>
    <w:rsid w:val="00E82AB5"/>
    <w:rsid w:val="00E84597"/>
    <w:rsid w:val="00E853F9"/>
    <w:rsid w:val="00E85E46"/>
    <w:rsid w:val="00E868CA"/>
    <w:rsid w:val="00E908E4"/>
    <w:rsid w:val="00E97B11"/>
    <w:rsid w:val="00EA1ABF"/>
    <w:rsid w:val="00EA2CE4"/>
    <w:rsid w:val="00EA2F22"/>
    <w:rsid w:val="00EB3337"/>
    <w:rsid w:val="00EB3456"/>
    <w:rsid w:val="00EC50DA"/>
    <w:rsid w:val="00EC53EF"/>
    <w:rsid w:val="00ED0167"/>
    <w:rsid w:val="00ED1F3A"/>
    <w:rsid w:val="00ED34A1"/>
    <w:rsid w:val="00ED68B3"/>
    <w:rsid w:val="00ED7FCA"/>
    <w:rsid w:val="00EE61B2"/>
    <w:rsid w:val="00EF48E2"/>
    <w:rsid w:val="00EF792D"/>
    <w:rsid w:val="00F07033"/>
    <w:rsid w:val="00F07FA0"/>
    <w:rsid w:val="00F10EE6"/>
    <w:rsid w:val="00F138EE"/>
    <w:rsid w:val="00F1423C"/>
    <w:rsid w:val="00F15B20"/>
    <w:rsid w:val="00F22B57"/>
    <w:rsid w:val="00F22C3C"/>
    <w:rsid w:val="00F240CA"/>
    <w:rsid w:val="00F30B26"/>
    <w:rsid w:val="00F36933"/>
    <w:rsid w:val="00F433E3"/>
    <w:rsid w:val="00F461B3"/>
    <w:rsid w:val="00F464F8"/>
    <w:rsid w:val="00F47D70"/>
    <w:rsid w:val="00F550CA"/>
    <w:rsid w:val="00F6272B"/>
    <w:rsid w:val="00F64393"/>
    <w:rsid w:val="00F659E6"/>
    <w:rsid w:val="00F65FCF"/>
    <w:rsid w:val="00F66007"/>
    <w:rsid w:val="00F66AAF"/>
    <w:rsid w:val="00F742BE"/>
    <w:rsid w:val="00F75C0B"/>
    <w:rsid w:val="00F77BDB"/>
    <w:rsid w:val="00F85AC2"/>
    <w:rsid w:val="00F87364"/>
    <w:rsid w:val="00F9296E"/>
    <w:rsid w:val="00FA01CB"/>
    <w:rsid w:val="00FA05DA"/>
    <w:rsid w:val="00FA260E"/>
    <w:rsid w:val="00FA3340"/>
    <w:rsid w:val="00FA4BBF"/>
    <w:rsid w:val="00FB3B43"/>
    <w:rsid w:val="00FC65C1"/>
    <w:rsid w:val="00FD1438"/>
    <w:rsid w:val="00FD3A5F"/>
    <w:rsid w:val="00FD62A8"/>
    <w:rsid w:val="00FE346A"/>
    <w:rsid w:val="00FE7263"/>
    <w:rsid w:val="00FE7990"/>
    <w:rsid w:val="00FF534B"/>
    <w:rsid w:val="02EB4C04"/>
    <w:rsid w:val="03380DB3"/>
    <w:rsid w:val="036D74EC"/>
    <w:rsid w:val="04D13B54"/>
    <w:rsid w:val="06DA3EE1"/>
    <w:rsid w:val="07B24EDB"/>
    <w:rsid w:val="08180F7D"/>
    <w:rsid w:val="0BFE46A5"/>
    <w:rsid w:val="0D2C3C79"/>
    <w:rsid w:val="0E1D2369"/>
    <w:rsid w:val="0F214B25"/>
    <w:rsid w:val="0F682465"/>
    <w:rsid w:val="0F8338FA"/>
    <w:rsid w:val="109C2AD4"/>
    <w:rsid w:val="122A6D05"/>
    <w:rsid w:val="1259024D"/>
    <w:rsid w:val="136B3E28"/>
    <w:rsid w:val="146559EA"/>
    <w:rsid w:val="155A0EDB"/>
    <w:rsid w:val="17824058"/>
    <w:rsid w:val="17C2642F"/>
    <w:rsid w:val="17D71BFE"/>
    <w:rsid w:val="190A7B90"/>
    <w:rsid w:val="19C12639"/>
    <w:rsid w:val="1B455B82"/>
    <w:rsid w:val="1C4278E2"/>
    <w:rsid w:val="1C7B2AA4"/>
    <w:rsid w:val="1D6D5D6B"/>
    <w:rsid w:val="21A316B6"/>
    <w:rsid w:val="21CA43A9"/>
    <w:rsid w:val="22A71A0C"/>
    <w:rsid w:val="238E26DF"/>
    <w:rsid w:val="25E35827"/>
    <w:rsid w:val="265535DF"/>
    <w:rsid w:val="2AAC601C"/>
    <w:rsid w:val="2C2D42B3"/>
    <w:rsid w:val="2C877F74"/>
    <w:rsid w:val="2F7B710A"/>
    <w:rsid w:val="2FCC280B"/>
    <w:rsid w:val="32E536BC"/>
    <w:rsid w:val="33161003"/>
    <w:rsid w:val="34136167"/>
    <w:rsid w:val="35EB2D13"/>
    <w:rsid w:val="35FA22BC"/>
    <w:rsid w:val="3ADE1931"/>
    <w:rsid w:val="3CD75B7A"/>
    <w:rsid w:val="3CE755EE"/>
    <w:rsid w:val="3D012101"/>
    <w:rsid w:val="3EBF4B4D"/>
    <w:rsid w:val="40530FE0"/>
    <w:rsid w:val="422B4B1C"/>
    <w:rsid w:val="44D17091"/>
    <w:rsid w:val="456733E7"/>
    <w:rsid w:val="4752157F"/>
    <w:rsid w:val="494645E7"/>
    <w:rsid w:val="49511BEC"/>
    <w:rsid w:val="498041C7"/>
    <w:rsid w:val="49FE3DC0"/>
    <w:rsid w:val="4A0F4D33"/>
    <w:rsid w:val="4D4813FA"/>
    <w:rsid w:val="4E150C57"/>
    <w:rsid w:val="54A85917"/>
    <w:rsid w:val="56563D05"/>
    <w:rsid w:val="59853AE4"/>
    <w:rsid w:val="59A86300"/>
    <w:rsid w:val="5BE02C0E"/>
    <w:rsid w:val="5C8B118C"/>
    <w:rsid w:val="5FAB23A0"/>
    <w:rsid w:val="60F37AF8"/>
    <w:rsid w:val="6117491F"/>
    <w:rsid w:val="612C7DA3"/>
    <w:rsid w:val="65521437"/>
    <w:rsid w:val="65ED9299"/>
    <w:rsid w:val="6AE039E8"/>
    <w:rsid w:val="6B1B7143"/>
    <w:rsid w:val="6BA03F91"/>
    <w:rsid w:val="6BEDB7E7"/>
    <w:rsid w:val="6FEFF9B5"/>
    <w:rsid w:val="719C2735"/>
    <w:rsid w:val="71B254D0"/>
    <w:rsid w:val="71B775AF"/>
    <w:rsid w:val="71E716FA"/>
    <w:rsid w:val="72157FF9"/>
    <w:rsid w:val="729103CB"/>
    <w:rsid w:val="7376596E"/>
    <w:rsid w:val="76E60099"/>
    <w:rsid w:val="77FF5783"/>
    <w:rsid w:val="78A13DF1"/>
    <w:rsid w:val="7A3760F3"/>
    <w:rsid w:val="7C592E0E"/>
    <w:rsid w:val="7CFF5591"/>
    <w:rsid w:val="7D004DF6"/>
    <w:rsid w:val="7D0211C4"/>
    <w:rsid w:val="7E5B2078"/>
    <w:rsid w:val="7F7B8738"/>
    <w:rsid w:val="7FF34815"/>
    <w:rsid w:val="81BF4417"/>
    <w:rsid w:val="8FF3723F"/>
    <w:rsid w:val="93FFB65F"/>
    <w:rsid w:val="9E7D51DF"/>
    <w:rsid w:val="AEEFC28D"/>
    <w:rsid w:val="AFD38CF1"/>
    <w:rsid w:val="BDBD45A5"/>
    <w:rsid w:val="BFFFFF70"/>
    <w:rsid w:val="DEEB81FC"/>
    <w:rsid w:val="DF5F76D0"/>
    <w:rsid w:val="E67F19CF"/>
    <w:rsid w:val="E96F8FC3"/>
    <w:rsid w:val="EDF1CD78"/>
    <w:rsid w:val="FBB7E94D"/>
    <w:rsid w:val="FDC9B7EB"/>
    <w:rsid w:val="FFBFA4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6" w:lineRule="auto"/>
      <w:outlineLvl w:val="0"/>
    </w:pPr>
    <w:rPr>
      <w:b/>
      <w:kern w:val="44"/>
      <w:sz w:val="44"/>
    </w:rPr>
  </w:style>
  <w:style w:type="character" w:default="1" w:styleId="14">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3">
    <w:name w:val="Document Map"/>
    <w:basedOn w:val="1"/>
    <w:link w:val="23"/>
    <w:unhideWhenUsed/>
    <w:qFormat/>
    <w:uiPriority w:val="99"/>
    <w:pPr>
      <w:shd w:val="clear" w:color="auto" w:fill="000080"/>
    </w:pPr>
    <w:rPr>
      <w:rFonts w:ascii="Times New Roman" w:hAnsi="Times New Roman" w:eastAsia="宋体" w:cs="Times New Roman"/>
      <w:szCs w:val="24"/>
    </w:rPr>
  </w:style>
  <w:style w:type="paragraph" w:styleId="4">
    <w:name w:val="annotation text"/>
    <w:basedOn w:val="1"/>
    <w:link w:val="24"/>
    <w:unhideWhenUsed/>
    <w:qFormat/>
    <w:uiPriority w:val="99"/>
    <w:pPr>
      <w:jc w:val="left"/>
    </w:pPr>
    <w:rPr>
      <w:rFonts w:ascii="Calibri" w:hAnsi="Calibri" w:eastAsia="宋体" w:cs="Times New Roman"/>
    </w:rPr>
  </w:style>
  <w:style w:type="paragraph" w:styleId="5">
    <w:name w:val="Body Text"/>
    <w:basedOn w:val="1"/>
    <w:link w:val="25"/>
    <w:unhideWhenUsed/>
    <w:qFormat/>
    <w:uiPriority w:val="99"/>
    <w:pPr>
      <w:spacing w:after="120"/>
    </w:pPr>
    <w:rPr>
      <w:rFonts w:ascii="Times New Roman" w:hAnsi="Times New Roman" w:eastAsia="宋体" w:cs="Times New Roman"/>
      <w:kern w:val="0"/>
      <w:sz w:val="24"/>
      <w:szCs w:val="20"/>
    </w:rPr>
  </w:style>
  <w:style w:type="paragraph" w:styleId="6">
    <w:name w:val="Date"/>
    <w:basedOn w:val="1"/>
    <w:next w:val="1"/>
    <w:link w:val="26"/>
    <w:unhideWhenUsed/>
    <w:qFormat/>
    <w:uiPriority w:val="99"/>
    <w:pPr>
      <w:ind w:left="100" w:leftChars="2500"/>
    </w:pPr>
    <w:rPr>
      <w:rFonts w:ascii="Calibri" w:hAnsi="Calibri" w:eastAsia="宋体" w:cs="Times New Roman"/>
    </w:rPr>
  </w:style>
  <w:style w:type="paragraph" w:styleId="7">
    <w:name w:val="Balloon Text"/>
    <w:basedOn w:val="1"/>
    <w:link w:val="21"/>
    <w:unhideWhenUsed/>
    <w:qFormat/>
    <w:uiPriority w:val="99"/>
    <w:rPr>
      <w:sz w:val="18"/>
      <w:szCs w:val="18"/>
    </w:rPr>
  </w:style>
  <w:style w:type="paragraph" w:styleId="8">
    <w:name w:val="footer"/>
    <w:basedOn w:val="1"/>
    <w:link w:val="20"/>
    <w:unhideWhenUsed/>
    <w:qFormat/>
    <w:uiPriority w:val="99"/>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HTML Preformatted"/>
    <w:basedOn w:val="1"/>
    <w:link w:val="27"/>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2">
    <w:name w:val="annotation subject"/>
    <w:basedOn w:val="4"/>
    <w:next w:val="4"/>
    <w:link w:val="28"/>
    <w:unhideWhenUsed/>
    <w:qFormat/>
    <w:uiPriority w:val="99"/>
    <w:rPr>
      <w:b/>
      <w:bCs/>
    </w:rPr>
  </w:style>
  <w:style w:type="character" w:styleId="15">
    <w:name w:val="Strong"/>
    <w:basedOn w:val="14"/>
    <w:qFormat/>
    <w:uiPriority w:val="22"/>
    <w:rPr>
      <w:b/>
      <w:bCs/>
    </w:rPr>
  </w:style>
  <w:style w:type="character" w:styleId="16">
    <w:name w:val="page number"/>
    <w:basedOn w:val="14"/>
    <w:qFormat/>
    <w:uiPriority w:val="99"/>
  </w:style>
  <w:style w:type="character" w:styleId="17">
    <w:name w:val="Hyperlink"/>
    <w:qFormat/>
    <w:uiPriority w:val="99"/>
    <w:rPr>
      <w:color w:val="0000FF"/>
      <w:u w:val="single"/>
    </w:rPr>
  </w:style>
  <w:style w:type="character" w:styleId="18">
    <w:name w:val="annotation reference"/>
    <w:qFormat/>
    <w:uiPriority w:val="99"/>
    <w:rPr>
      <w:sz w:val="21"/>
      <w:szCs w:val="21"/>
    </w:rPr>
  </w:style>
  <w:style w:type="character" w:customStyle="1" w:styleId="19">
    <w:name w:val="页眉 Char"/>
    <w:basedOn w:val="14"/>
    <w:link w:val="9"/>
    <w:qFormat/>
    <w:uiPriority w:val="99"/>
    <w:rPr>
      <w:sz w:val="18"/>
      <w:szCs w:val="18"/>
    </w:rPr>
  </w:style>
  <w:style w:type="character" w:customStyle="1" w:styleId="20">
    <w:name w:val="页脚 Char"/>
    <w:basedOn w:val="14"/>
    <w:link w:val="8"/>
    <w:qFormat/>
    <w:uiPriority w:val="99"/>
    <w:rPr>
      <w:sz w:val="18"/>
      <w:szCs w:val="18"/>
    </w:rPr>
  </w:style>
  <w:style w:type="character" w:customStyle="1" w:styleId="21">
    <w:name w:val="批注框文本 Char"/>
    <w:basedOn w:val="14"/>
    <w:link w:val="7"/>
    <w:qFormat/>
    <w:uiPriority w:val="99"/>
    <w:rPr>
      <w:sz w:val="18"/>
      <w:szCs w:val="18"/>
    </w:rPr>
  </w:style>
  <w:style w:type="paragraph" w:customStyle="1" w:styleId="22">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3">
    <w:name w:val="文档结构图 Char"/>
    <w:basedOn w:val="14"/>
    <w:link w:val="3"/>
    <w:semiHidden/>
    <w:qFormat/>
    <w:uiPriority w:val="99"/>
    <w:rPr>
      <w:rFonts w:ascii="Times New Roman" w:hAnsi="Times New Roman" w:eastAsia="宋体" w:cs="Times New Roman"/>
      <w:szCs w:val="24"/>
      <w:shd w:val="clear" w:color="auto" w:fill="000080"/>
    </w:rPr>
  </w:style>
  <w:style w:type="character" w:customStyle="1" w:styleId="24">
    <w:name w:val="批注文字 Char"/>
    <w:basedOn w:val="14"/>
    <w:link w:val="4"/>
    <w:qFormat/>
    <w:uiPriority w:val="99"/>
    <w:rPr>
      <w:rFonts w:ascii="Calibri" w:hAnsi="Calibri" w:eastAsia="宋体" w:cs="Times New Roman"/>
    </w:rPr>
  </w:style>
  <w:style w:type="character" w:customStyle="1" w:styleId="25">
    <w:name w:val="正文文本 Char"/>
    <w:basedOn w:val="14"/>
    <w:link w:val="5"/>
    <w:qFormat/>
    <w:uiPriority w:val="99"/>
    <w:rPr>
      <w:rFonts w:ascii="Times New Roman" w:hAnsi="Times New Roman" w:eastAsia="宋体" w:cs="Times New Roman"/>
      <w:kern w:val="0"/>
      <w:sz w:val="24"/>
      <w:szCs w:val="20"/>
    </w:rPr>
  </w:style>
  <w:style w:type="character" w:customStyle="1" w:styleId="26">
    <w:name w:val="日期 Char"/>
    <w:basedOn w:val="14"/>
    <w:link w:val="6"/>
    <w:qFormat/>
    <w:uiPriority w:val="99"/>
    <w:rPr>
      <w:rFonts w:ascii="Calibri" w:hAnsi="Calibri" w:eastAsia="宋体" w:cs="Times New Roman"/>
    </w:rPr>
  </w:style>
  <w:style w:type="character" w:customStyle="1" w:styleId="27">
    <w:name w:val="HTML 预设格式 Char"/>
    <w:basedOn w:val="14"/>
    <w:link w:val="10"/>
    <w:qFormat/>
    <w:uiPriority w:val="99"/>
    <w:rPr>
      <w:rFonts w:ascii="宋体" w:hAnsi="宋体" w:eastAsia="宋体" w:cs="宋体"/>
      <w:kern w:val="0"/>
      <w:sz w:val="24"/>
      <w:szCs w:val="24"/>
    </w:rPr>
  </w:style>
  <w:style w:type="character" w:customStyle="1" w:styleId="28">
    <w:name w:val="批注主题 Char"/>
    <w:basedOn w:val="24"/>
    <w:link w:val="12"/>
    <w:qFormat/>
    <w:uiPriority w:val="99"/>
    <w:rPr>
      <w:rFonts w:ascii="Calibri" w:hAnsi="Calibri" w:eastAsia="宋体" w:cs="Times New Roman"/>
      <w:b/>
      <w:bCs/>
    </w:rPr>
  </w:style>
  <w:style w:type="character" w:customStyle="1" w:styleId="29">
    <w:name w:val="正文文本 (2)_"/>
    <w:qFormat/>
    <w:uiPriority w:val="99"/>
  </w:style>
  <w:style w:type="character" w:customStyle="1" w:styleId="30">
    <w:name w:val="正文文本 Char1"/>
    <w:basedOn w:val="14"/>
    <w:qFormat/>
    <w:uiPriority w:val="99"/>
    <w:rPr>
      <w:rFonts w:ascii="Times New Roman" w:hAnsi="Times New Roman" w:eastAsia="宋体" w:cs="Times New Roman"/>
      <w:szCs w:val="24"/>
    </w:rPr>
  </w:style>
  <w:style w:type="paragraph" w:customStyle="1" w:styleId="31">
    <w:name w:val="List Paragraph"/>
    <w:basedOn w:val="1"/>
    <w:qFormat/>
    <w:uiPriority w:val="99"/>
    <w:pPr>
      <w:ind w:firstLine="420" w:firstLineChars="200"/>
    </w:pPr>
    <w:rPr>
      <w:rFonts w:ascii="Calibri" w:hAnsi="Calibri" w:eastAsia="宋体" w:cs="Times New Roman"/>
    </w:rPr>
  </w:style>
  <w:style w:type="character" w:customStyle="1" w:styleId="32">
    <w:name w:val="Body Text Char"/>
    <w:qFormat/>
    <w:locked/>
    <w:uiPriority w:val="99"/>
    <w:rPr>
      <w:sz w:val="24"/>
    </w:rPr>
  </w:style>
  <w:style w:type="paragraph" w:customStyle="1" w:styleId="33">
    <w:name w:val="修订2"/>
    <w:hidden/>
    <w:unhideWhenUsed/>
    <w:qFormat/>
    <w:uiPriority w:val="99"/>
    <w:rPr>
      <w:rFonts w:asciiTheme="minorHAnsi" w:hAnsiTheme="minorHAnsi" w:eastAsiaTheme="minorEastAsia" w:cstheme="minorBidi"/>
      <w:kern w:val="2"/>
      <w:sz w:val="21"/>
      <w:szCs w:val="22"/>
      <w:lang w:val="en-US" w:eastAsia="zh-CN" w:bidi="ar-SA"/>
    </w:rPr>
  </w:style>
  <w:style w:type="character" w:customStyle="1" w:styleId="34">
    <w:name w:val="font31"/>
    <w:basedOn w:val="14"/>
    <w:qFormat/>
    <w:uiPriority w:val="0"/>
    <w:rPr>
      <w:rFonts w:hint="eastAsia" w:ascii="宋体" w:hAnsi="宋体" w:eastAsia="宋体" w:cs="宋体"/>
      <w:color w:val="000000"/>
      <w:sz w:val="24"/>
      <w:szCs w:val="24"/>
      <w:u w:val="none"/>
    </w:rPr>
  </w:style>
  <w:style w:type="character" w:customStyle="1" w:styleId="35">
    <w:name w:val="font41"/>
    <w:basedOn w:val="14"/>
    <w:qFormat/>
    <w:uiPriority w:val="0"/>
    <w:rPr>
      <w:rFonts w:hint="eastAsia" w:ascii="宋体" w:hAnsi="宋体" w:eastAsia="宋体" w:cs="宋体"/>
      <w:b/>
      <w:color w:val="000000"/>
      <w:sz w:val="24"/>
      <w:szCs w:val="24"/>
      <w:u w:val="none"/>
    </w:rPr>
  </w:style>
  <w:style w:type="character" w:customStyle="1" w:styleId="36">
    <w:name w:val="font01"/>
    <w:basedOn w:val="14"/>
    <w:qFormat/>
    <w:uiPriority w:val="0"/>
    <w:rPr>
      <w:rFonts w:hint="eastAsia" w:ascii="宋体" w:hAnsi="宋体" w:eastAsia="宋体" w:cs="宋体"/>
      <w:b/>
      <w:color w:val="FF0000"/>
      <w:sz w:val="24"/>
      <w:szCs w:val="24"/>
      <w:u w:val="none"/>
    </w:rPr>
  </w:style>
  <w:style w:type="paragraph" w:customStyle="1" w:styleId="37">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Company>
  <Pages>33</Pages>
  <Words>2379</Words>
  <Characters>13561</Characters>
  <Lines>113</Lines>
  <Paragraphs>31</Paragraphs>
  <TotalTime>0</TotalTime>
  <ScaleCrop>false</ScaleCrop>
  <LinksUpToDate>false</LinksUpToDate>
  <CharactersWithSpaces>15909</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2021-09-14T01:17:00Z</dcterms:created>
  <dc:creator>a</dc:creator>
  <cp:lastModifiedBy>greatwall</cp:lastModifiedBy>
  <cp:lastPrinted>2021-08-24T08:02:00Z</cp:lastPrinted>
  <dcterms:modified xsi:type="dcterms:W3CDTF">2021-11-16T10:08:37Z</dcterms:modified>
  <dc:title>食品生产许可审查通则（2021版）</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7B1AF76832EF41C1BB008C882258F9E3</vt:lpwstr>
  </property>
</Properties>
</file>