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安徽省食品安全承检机构管理办法</w:t>
      </w:r>
    </w:p>
    <w:p>
      <w:pPr>
        <w:pStyle w:val="2"/>
        <w:keepNext w:val="0"/>
        <w:keepLines w:val="0"/>
        <w:pageBreakBefore w:val="0"/>
        <w:kinsoku/>
        <w:wordWrap/>
        <w:overflowPunct/>
        <w:topLinePunct w:val="0"/>
        <w:autoSpaceDE/>
        <w:autoSpaceDN/>
        <w:bidi w:val="0"/>
        <w:spacing w:before="0" w:beforeAutospacing="0" w:after="0" w:afterAutospacing="0" w:line="600" w:lineRule="exact"/>
        <w:jc w:val="center"/>
        <w:textAlignment w:val="auto"/>
        <w:rPr>
          <w:rFonts w:hint="eastAsia"/>
          <w:sz w:val="32"/>
          <w:szCs w:val="32"/>
          <w:lang w:eastAsia="zh-CN"/>
        </w:rPr>
      </w:pPr>
      <w:r>
        <w:rPr>
          <w:rFonts w:hint="eastAsia" w:ascii="方正楷体_GBK" w:hAnsi="方正楷体_GBK" w:eastAsia="方正楷体_GBK" w:cs="方正楷体_GBK"/>
          <w:sz w:val="32"/>
          <w:szCs w:val="32"/>
          <w:lang w:val="en-US" w:eastAsia="zh-CN"/>
        </w:rPr>
        <w:t>（征求意见稿）</w:t>
      </w:r>
    </w:p>
    <w:p>
      <w:pPr>
        <w:numPr>
          <w:numId w:val="0"/>
        </w:numPr>
        <w:spacing w:after="156" w:afterLines="50"/>
        <w:jc w:val="left"/>
        <w:rPr>
          <w:rFonts w:hint="eastAsia" w:ascii="黑体" w:hAnsi="黑体" w:eastAsia="黑体" w:cs="黑体"/>
          <w:color w:val="000000"/>
          <w:sz w:val="32"/>
          <w:szCs w:val="32"/>
        </w:rPr>
      </w:pPr>
    </w:p>
    <w:p>
      <w:pPr>
        <w:numPr>
          <w:ilvl w:val="0"/>
          <w:numId w:val="1"/>
        </w:numPr>
        <w:spacing w:after="156" w:afterLines="50"/>
        <w:ind w:firstLine="2880" w:firstLineChars="900"/>
        <w:jc w:val="left"/>
        <w:rPr>
          <w:rFonts w:hint="eastAsia" w:ascii="黑体" w:hAnsi="黑体" w:eastAsia="黑体" w:cs="黑体"/>
          <w:color w:val="000000"/>
          <w:sz w:val="32"/>
          <w:szCs w:val="32"/>
        </w:rPr>
      </w:pPr>
      <w:r>
        <w:rPr>
          <w:rFonts w:hint="eastAsia" w:ascii="黑体" w:hAnsi="黑体" w:eastAsia="黑体" w:cs="黑体"/>
          <w:color w:val="000000"/>
          <w:sz w:val="32"/>
          <w:szCs w:val="32"/>
        </w:rPr>
        <w:t>总  则</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b/>
          <w:bCs/>
          <w:color w:val="000000"/>
          <w:sz w:val="32"/>
          <w:szCs w:val="32"/>
        </w:rPr>
        <w:t xml:space="preserve">第一条 </w:t>
      </w:r>
      <w:r>
        <w:rPr>
          <w:rFonts w:hint="eastAsia" w:ascii="仿宋_GB2312" w:hAnsi="仿宋_GB2312" w:eastAsia="仿宋_GB2312" w:cs="仿宋_GB2312"/>
          <w:color w:val="000000"/>
          <w:sz w:val="32"/>
          <w:szCs w:val="32"/>
        </w:rPr>
        <w:t>为规范食品安全抽检监测工作，进一步提高我省食品安全抽样检验工作质量，根据《中华人民共和国食品安全法》《食品安全抽样检</w:t>
      </w:r>
      <w:bookmarkStart w:id="8" w:name="_GoBack"/>
      <w:bookmarkEnd w:id="8"/>
      <w:r>
        <w:rPr>
          <w:rFonts w:hint="eastAsia" w:ascii="仿宋_GB2312" w:hAnsi="仿宋_GB2312" w:eastAsia="仿宋_GB2312" w:cs="仿宋_GB2312"/>
          <w:color w:val="000000"/>
          <w:sz w:val="32"/>
          <w:szCs w:val="32"/>
        </w:rPr>
        <w:t>验管理办法》等法律法规及规章规定，结合我省实际，制定本办法。</w:t>
      </w:r>
    </w:p>
    <w:p>
      <w:pPr>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第二条</w:t>
      </w:r>
      <w:r>
        <w:rPr>
          <w:rFonts w:hint="eastAsia" w:ascii="仿宋_GB2312" w:hAnsi="仿宋_GB2312" w:eastAsia="仿宋_GB2312" w:cs="仿宋_GB2312"/>
          <w:color w:val="000000"/>
          <w:sz w:val="32"/>
          <w:szCs w:val="32"/>
        </w:rPr>
        <w:t xml:space="preserve"> 本办法所称承检机构指承担安徽省市场监督管理局（以下简称省局）组织的国家和省级食品安全抽样检验任务的检验机构。</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承检机构抽样检验活动，应当遵循诚信守法、客观独立、科学准确、公平公正的原则。</w:t>
      </w:r>
    </w:p>
    <w:p>
      <w:pPr>
        <w:pStyle w:val="3"/>
        <w:rPr>
          <w:rFonts w:hint="eastAsia" w:eastAsia="仿宋_GB2312"/>
          <w:lang w:eastAsia="zh-CN"/>
        </w:rPr>
      </w:pPr>
    </w:p>
    <w:p>
      <w:pPr>
        <w:ind w:firstLine="640" w:firstLineChars="200"/>
        <w:rPr>
          <w:rFonts w:hint="eastAsia" w:ascii="仿宋_GB2312" w:hAnsi="仿宋_GB2312" w:eastAsia="仿宋_GB2312" w:cs="仿宋_GB2312"/>
          <w:sz w:val="32"/>
          <w:szCs w:val="32"/>
        </w:rPr>
      </w:pPr>
    </w:p>
    <w:p>
      <w:pPr>
        <w:numPr>
          <w:ilvl w:val="0"/>
          <w:numId w:val="1"/>
        </w:numPr>
        <w:spacing w:after="156" w:afterLines="50"/>
        <w:ind w:firstLine="2880" w:firstLineChars="900"/>
        <w:jc w:val="lef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能力与要求</w:t>
      </w:r>
    </w:p>
    <w:p>
      <w:pPr>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第四条</w:t>
      </w:r>
      <w:r>
        <w:rPr>
          <w:rFonts w:hint="eastAsia" w:ascii="仿宋_GB2312" w:hAnsi="仿宋_GB2312" w:eastAsia="仿宋_GB2312" w:cs="仿宋_GB2312"/>
          <w:color w:val="000000"/>
          <w:sz w:val="32"/>
          <w:szCs w:val="32"/>
        </w:rPr>
        <w:t xml:space="preserve"> 承检机构应当具备并持续保持与承担的食品安全抽样检验任务相适应的检验检测资质和能力，拥有运行良好的实验室</w:t>
      </w:r>
      <w:r>
        <w:rPr>
          <w:rFonts w:hint="eastAsia" w:ascii="仿宋_GB2312" w:hAnsi="仿宋_GB2312" w:eastAsia="仿宋_GB2312" w:cs="仿宋_GB2312"/>
          <w:sz w:val="32"/>
          <w:szCs w:val="32"/>
        </w:rPr>
        <w:t>质量管理体系和校验、审核、监督等责任人制度，严格按照要求开展工作。</w:t>
      </w:r>
    </w:p>
    <w:p>
      <w:pPr>
        <w:ind w:firstLine="64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第五条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承检机构应具备健全的食品安全抽样检验工作制度和样品管理、保密、回避、培训、考核等制度，落实食品安全抽样检验工作的各项要求，保证食品安全抽样检验工作质量。</w:t>
      </w:r>
    </w:p>
    <w:p>
      <w:pPr>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第六条</w:t>
      </w:r>
      <w:r>
        <w:rPr>
          <w:rFonts w:hint="eastAsia" w:ascii="仿宋_GB2312" w:hAnsi="仿宋_GB2312" w:eastAsia="仿宋_GB2312" w:cs="仿宋_GB2312"/>
          <w:color w:val="000000"/>
          <w:sz w:val="32"/>
          <w:szCs w:val="32"/>
        </w:rPr>
        <w:t xml:space="preserve"> 承检机构应当配备与检验项目及检验能力相适应的仪器设备和标准物质；具有独立的与抽样检验任务相适应的样品存放、检验场所和设施以及符合要求的样品储存、检测环境。</w:t>
      </w:r>
    </w:p>
    <w:p>
      <w:pPr>
        <w:ind w:firstLine="642"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第七条</w:t>
      </w:r>
      <w:r>
        <w:rPr>
          <w:rFonts w:hint="eastAsia" w:ascii="仿宋_GB2312" w:hAnsi="仿宋_GB2312" w:eastAsia="仿宋_GB2312" w:cs="仿宋_GB2312"/>
          <w:color w:val="000000"/>
          <w:sz w:val="32"/>
          <w:szCs w:val="32"/>
        </w:rPr>
        <w:t xml:space="preserve"> 承检机构及其工作人员应当及时掌握食品安全抽样检验法律法规规章及规范性文件相关规定、抽样检验技术、信息系统应用等基本技能，每年定期开展培训和考核。确保具有使用最新有效文件的措施；确保具有安全有效的信息管理系统。</w:t>
      </w:r>
    </w:p>
    <w:p>
      <w:pPr>
        <w:ind w:firstLine="645"/>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sz w:val="32"/>
          <w:szCs w:val="32"/>
        </w:rPr>
        <w:t>八条</w:t>
      </w:r>
      <w:r>
        <w:rPr>
          <w:rFonts w:hint="eastAsia" w:ascii="仿宋_GB2312" w:hAnsi="仿宋_GB2312" w:eastAsia="仿宋_GB2312" w:cs="仿宋_GB2312"/>
          <w:sz w:val="32"/>
          <w:szCs w:val="32"/>
        </w:rPr>
        <w:t xml:space="preserve"> 承检机构从事省局委托的食品安全抽样检验工作，应当按照下列要求组织实施：  </w:t>
      </w:r>
    </w:p>
    <w:p>
      <w:pPr>
        <w:numPr>
          <w:ilvl w:val="0"/>
          <w:numId w:val="2"/>
        </w:numPr>
        <w:ind w:lef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严格按照法律法规规章以及国家和省级规范性文件开展食品安全抽样检验工作；</w:t>
      </w:r>
    </w:p>
    <w:p>
      <w:pPr>
        <w:numPr>
          <w:ilvl w:val="0"/>
          <w:numId w:val="2"/>
        </w:numPr>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明确承担食品安全</w:t>
      </w:r>
      <w:bookmarkStart w:id="0" w:name="OLE_LINK5"/>
      <w:r>
        <w:rPr>
          <w:rFonts w:hint="eastAsia" w:ascii="仿宋_GB2312" w:hAnsi="仿宋_GB2312" w:eastAsia="仿宋_GB2312" w:cs="仿宋_GB2312"/>
          <w:sz w:val="32"/>
          <w:szCs w:val="32"/>
        </w:rPr>
        <w:t>抽样检验工作的组织结构、岗位职责，</w:t>
      </w:r>
      <w:bookmarkEnd w:id="0"/>
      <w:r>
        <w:rPr>
          <w:rFonts w:hint="eastAsia" w:ascii="仿宋_GB2312" w:hAnsi="仿宋_GB2312" w:eastAsia="仿宋_GB2312" w:cs="仿宋_GB2312"/>
          <w:sz w:val="32"/>
          <w:szCs w:val="32"/>
        </w:rPr>
        <w:t>并制定相应的</w:t>
      </w:r>
      <w:bookmarkStart w:id="1" w:name="OLE_LINK4"/>
      <w:r>
        <w:rPr>
          <w:rFonts w:hint="eastAsia" w:ascii="仿宋_GB2312" w:hAnsi="仿宋_GB2312" w:eastAsia="仿宋_GB2312" w:cs="仿宋_GB2312"/>
          <w:sz w:val="32"/>
          <w:szCs w:val="32"/>
        </w:rPr>
        <w:t>样品采集、交接、检验、留存、信息报告等工作制度</w:t>
      </w:r>
      <w:bookmarkEnd w:id="1"/>
      <w:r>
        <w:rPr>
          <w:rFonts w:hint="eastAsia" w:ascii="仿宋_GB2312" w:hAnsi="仿宋_GB2312" w:eastAsia="仿宋_GB2312" w:cs="仿宋_GB2312"/>
          <w:sz w:val="32"/>
          <w:szCs w:val="32"/>
        </w:rPr>
        <w:t>；</w:t>
      </w:r>
    </w:p>
    <w:p>
      <w:pPr>
        <w:numPr>
          <w:ilvl w:val="0"/>
          <w:numId w:val="2"/>
        </w:numPr>
        <w:ind w:left="0"/>
        <w:rPr>
          <w:rFonts w:ascii="仿宋_GB2312" w:hAnsi="仿宋_GB2312" w:eastAsia="仿宋_GB2312" w:cs="仿宋_GB2312"/>
          <w:sz w:val="32"/>
          <w:szCs w:val="32"/>
        </w:rPr>
      </w:pPr>
      <w:bookmarkStart w:id="2" w:name="OLE_LINK6"/>
      <w:r>
        <w:rPr>
          <w:rFonts w:hint="eastAsia" w:ascii="仿宋_GB2312" w:hAnsi="仿宋_GB2312" w:eastAsia="仿宋_GB2312" w:cs="仿宋_GB2312"/>
          <w:sz w:val="32"/>
          <w:szCs w:val="32"/>
        </w:rPr>
        <w:t>按照计划安排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合同约定以及省局要求保质、保量、保序时进度完成抽样检验任务；</w:t>
      </w:r>
    </w:p>
    <w:bookmarkEnd w:id="2"/>
    <w:p>
      <w:pPr>
        <w:numPr>
          <w:ilvl w:val="0"/>
          <w:numId w:val="2"/>
        </w:numPr>
        <w:ind w:lef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承担抽样任务时，应具有与抽样工作相匹配的抽样人员和设备；应</w:t>
      </w:r>
      <w:r>
        <w:rPr>
          <w:rFonts w:hint="eastAsia" w:ascii="仿宋_GB2312" w:hAnsi="仿宋_GB2312" w:eastAsia="仿宋_GB2312" w:cs="仿宋_GB2312"/>
          <w:sz w:val="32"/>
          <w:szCs w:val="32"/>
          <w:lang w:eastAsia="zh-CN"/>
        </w:rPr>
        <w:t>按规定</w:t>
      </w:r>
      <w:r>
        <w:rPr>
          <w:rFonts w:hint="eastAsia" w:ascii="仿宋_GB2312" w:hAnsi="仿宋_GB2312" w:eastAsia="仿宋_GB2312" w:cs="仿宋_GB2312"/>
          <w:sz w:val="32"/>
          <w:szCs w:val="32"/>
        </w:rPr>
        <w:t>支付样品购买费用</w:t>
      </w:r>
      <w:r>
        <w:rPr>
          <w:rFonts w:hint="eastAsia" w:ascii="仿宋_GB2312" w:hAnsi="仿宋_GB2312" w:eastAsia="仿宋_GB2312" w:cs="仿宋_GB2312"/>
          <w:sz w:val="32"/>
          <w:szCs w:val="32"/>
        </w:rPr>
        <w:t>；按照规范要求开展样品采集工作，同时登录国家食品安全抽检监测信息系统并填报完整、准确的抽样信息；规范使用抽检文书；抽样结束至样品送达承检机构实验室期间，应保证样品贮存、运输过程符合国家相关规定和包装标示的要求，不发生影响检验结论的变化；</w:t>
      </w:r>
    </w:p>
    <w:p>
      <w:pPr>
        <w:numPr>
          <w:ilvl w:val="0"/>
          <w:numId w:val="2"/>
        </w:numPr>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采集的样品交接及时，制备以及存放符合相关规定和包装标示的要求，并避免混淆、污染；对保质期较短的样品，承检机构应及时检验并出具报告；</w:t>
      </w:r>
    </w:p>
    <w:p>
      <w:pPr>
        <w:numPr>
          <w:ilvl w:val="0"/>
          <w:numId w:val="2"/>
        </w:numPr>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按照规定出具检验报告，承检机构和检验人对出具的检验报告负责；</w:t>
      </w:r>
    </w:p>
    <w:p>
      <w:pPr>
        <w:numPr>
          <w:ilvl w:val="0"/>
          <w:numId w:val="2"/>
        </w:numPr>
        <w:ind w:left="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对检验结论为不合格或属于问题食品的，按照规定时限出具检验报告并上传国家食品安全抽检监测信息系统；检验结论表明不合格食品可能对身体健康和生命安全造成严重危害的，按规定时限立即上报国家食品安全抽检监测信息系统并向组织任务的市场监督管理部</w:t>
      </w:r>
      <w:r>
        <w:rPr>
          <w:rFonts w:hint="eastAsia" w:ascii="仿宋_GB2312" w:hAnsi="仿宋_GB2312" w:eastAsia="仿宋_GB2312" w:cs="仿宋_GB2312"/>
          <w:color w:val="auto"/>
          <w:sz w:val="32"/>
          <w:szCs w:val="32"/>
        </w:rPr>
        <w:t xml:space="preserve">门报告；  </w:t>
      </w:r>
    </w:p>
    <w:p>
      <w:pPr>
        <w:numPr>
          <w:ilvl w:val="0"/>
          <w:numId w:val="2"/>
        </w:numPr>
        <w:ind w:lef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备份样品按规定保存和处置；</w:t>
      </w:r>
    </w:p>
    <w:p>
      <w:pPr>
        <w:numPr>
          <w:ilvl w:val="0"/>
          <w:numId w:val="2"/>
        </w:numPr>
        <w:ind w:left="0"/>
        <w:rPr>
          <w:rFonts w:ascii="仿宋_GB2312" w:hAnsi="仿宋_GB2312" w:eastAsia="仿宋_GB2312" w:cs="仿宋_GB2312"/>
          <w:sz w:val="32"/>
          <w:szCs w:val="32"/>
        </w:rPr>
      </w:pPr>
      <w:r>
        <w:rPr>
          <w:rFonts w:hint="eastAsia" w:ascii="仿宋_GB2312" w:hAnsi="仿宋_GB2312" w:eastAsia="仿宋_GB2312" w:cs="仿宋_GB2312"/>
          <w:sz w:val="32"/>
          <w:szCs w:val="32"/>
        </w:rPr>
        <w:t>针对承检任务建立并落实专项质量控制计划等。</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承检机构及其工作人员不得从事下列行为：</w:t>
      </w:r>
    </w:p>
    <w:p>
      <w:pPr>
        <w:numPr>
          <w:ilvl w:val="0"/>
          <w:numId w:val="3"/>
        </w:numPr>
        <w:rPr>
          <w:rFonts w:hint="eastAsia" w:ascii="仿宋_GB2312" w:hAnsi="仿宋_GB2312" w:eastAsia="仿宋_GB2312" w:cs="仿宋_GB2312"/>
          <w:sz w:val="32"/>
          <w:szCs w:val="32"/>
        </w:rPr>
      </w:pPr>
      <w:bookmarkStart w:id="3" w:name="OLE_LINK7"/>
      <w:r>
        <w:rPr>
          <w:rFonts w:hint="eastAsia" w:ascii="仿宋_GB2312" w:hAnsi="仿宋_GB2312" w:eastAsia="仿宋_GB2312" w:cs="仿宋_GB2312"/>
          <w:sz w:val="32"/>
          <w:szCs w:val="32"/>
        </w:rPr>
        <w:t>提前告知被抽样食品生产经营者，</w:t>
      </w:r>
      <w:bookmarkEnd w:id="3"/>
      <w:r>
        <w:rPr>
          <w:rFonts w:hint="eastAsia" w:ascii="仿宋_GB2312" w:hAnsi="仿宋_GB2312" w:eastAsia="仿宋_GB2312" w:cs="仿宋_GB2312"/>
          <w:sz w:val="32"/>
          <w:szCs w:val="32"/>
        </w:rPr>
        <w:t xml:space="preserve">随意变更抽样样品信息； </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随意调换样品；  </w:t>
      </w:r>
    </w:p>
    <w:p>
      <w:pPr>
        <w:numPr>
          <w:ilvl w:val="0"/>
          <w:numId w:val="3"/>
        </w:numPr>
        <w:rPr>
          <w:rFonts w:hint="eastAsia" w:ascii="仿宋_GB2312" w:hAnsi="仿宋_GB2312" w:eastAsia="仿宋_GB2312" w:cs="仿宋_GB2312"/>
          <w:sz w:val="32"/>
          <w:szCs w:val="32"/>
        </w:rPr>
      </w:pPr>
      <w:bookmarkStart w:id="4" w:name="OLE_LINK9"/>
      <w:r>
        <w:rPr>
          <w:rFonts w:hint="eastAsia" w:ascii="仿宋_GB2312" w:hAnsi="仿宋_GB2312" w:eastAsia="仿宋_GB2312" w:cs="仿宋_GB2312"/>
          <w:sz w:val="32"/>
          <w:szCs w:val="32"/>
        </w:rPr>
        <w:t>瞒报、谎报食品安全抽样检验数据；</w:t>
      </w:r>
    </w:p>
    <w:bookmarkEnd w:id="4"/>
    <w:p>
      <w:pPr>
        <w:numPr>
          <w:ilvl w:val="0"/>
          <w:numId w:val="3"/>
        </w:numPr>
        <w:rPr>
          <w:rFonts w:hint="eastAsia" w:ascii="仿宋_GB2312" w:hAnsi="仿宋_GB2312" w:eastAsia="仿宋_GB2312" w:cs="仿宋_GB2312"/>
          <w:sz w:val="32"/>
          <w:szCs w:val="32"/>
        </w:rPr>
      </w:pPr>
      <w:bookmarkStart w:id="5" w:name="OLE_LINK10"/>
      <w:r>
        <w:rPr>
          <w:rFonts w:hint="eastAsia" w:ascii="仿宋_GB2312" w:hAnsi="仿宋_GB2312" w:eastAsia="仿宋_GB2312" w:cs="仿宋_GB2312"/>
          <w:sz w:val="32"/>
          <w:szCs w:val="32"/>
        </w:rPr>
        <w:t>篡改数据、出具虚假检验报告</w:t>
      </w:r>
      <w:bookmarkEnd w:id="5"/>
      <w:r>
        <w:rPr>
          <w:rFonts w:hint="eastAsia" w:ascii="仿宋_GB2312" w:hAnsi="仿宋_GB2312" w:eastAsia="仿宋_GB2312" w:cs="仿宋_GB2312"/>
          <w:sz w:val="32"/>
          <w:szCs w:val="32"/>
        </w:rPr>
        <w:t>；</w:t>
      </w:r>
    </w:p>
    <w:p>
      <w:pPr>
        <w:numPr>
          <w:ilvl w:val="0"/>
          <w:numId w:val="3"/>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分包或转包抽样检验任务，确因特殊情况需要分包的，需经省局批准同意；</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违反保密义务，</w:t>
      </w:r>
      <w:bookmarkStart w:id="6" w:name="OLE_LINK8"/>
      <w:r>
        <w:rPr>
          <w:rFonts w:hint="eastAsia" w:ascii="仿宋_GB2312" w:hAnsi="仿宋_GB2312" w:eastAsia="仿宋_GB2312" w:cs="仿宋_GB2312"/>
          <w:sz w:val="32"/>
          <w:szCs w:val="32"/>
        </w:rPr>
        <w:t>泄露、擅自使用或发布食品安全抽样检验</w:t>
      </w:r>
      <w:bookmarkEnd w:id="6"/>
      <w:r>
        <w:rPr>
          <w:rFonts w:hint="eastAsia" w:ascii="仿宋_GB2312" w:hAnsi="仿宋_GB2312" w:eastAsia="仿宋_GB2312" w:cs="仿宋_GB2312"/>
          <w:sz w:val="32"/>
          <w:szCs w:val="32"/>
        </w:rPr>
        <w:t>数据和相关信息；</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接受被抽检单位的利益输送，利用抽样检验结果开展有偿活动、牟取不正当利益；</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在实施抽样检验期间，接受企业同批次产品的委托检验；</w:t>
      </w:r>
    </w:p>
    <w:p>
      <w:pPr>
        <w:numPr>
          <w:ilvl w:val="0"/>
          <w:numId w:val="3"/>
        </w:numPr>
        <w:rPr>
          <w:rFonts w:ascii="仿宋_GB2312" w:hAnsi="仿宋_GB2312" w:eastAsia="仿宋_GB2312" w:cs="仿宋_GB2312"/>
          <w:sz w:val="32"/>
          <w:szCs w:val="32"/>
        </w:rPr>
      </w:pPr>
      <w:r>
        <w:rPr>
          <w:rFonts w:hint="eastAsia" w:ascii="仿宋_GB2312" w:hAnsi="仿宋_GB2312" w:eastAsia="仿宋_GB2312" w:cs="仿宋_GB2312"/>
          <w:sz w:val="32"/>
          <w:szCs w:val="32"/>
        </w:rPr>
        <w:t>拒绝、阻挠或逃避省局组织开展的现场检查、数据抽查、合格样品复核、盲样测试考核等考核管理各项工作；</w:t>
      </w:r>
    </w:p>
    <w:p>
      <w:pPr>
        <w:numPr>
          <w:ilvl w:val="0"/>
          <w:numId w:val="3"/>
        </w:num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其他影响数据结果真实、准确、完整等检验质量的行为。</w:t>
      </w:r>
    </w:p>
    <w:p>
      <w:pP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第十条</w:t>
      </w:r>
      <w:r>
        <w:rPr>
          <w:rFonts w:hint="eastAsia" w:ascii="仿宋_GB2312" w:hAnsi="仿宋_GB2312" w:eastAsia="仿宋_GB2312" w:cs="仿宋_GB2312"/>
          <w:color w:val="000000"/>
          <w:sz w:val="32"/>
          <w:szCs w:val="32"/>
        </w:rPr>
        <w:t xml:space="preserve"> 承检机构应当建立自查制度，定期对抽样检验工作进行检查评价，</w:t>
      </w:r>
      <w:r>
        <w:rPr>
          <w:rFonts w:hint="eastAsia" w:ascii="仿宋_GB2312" w:hAnsi="仿宋_GB2312" w:eastAsia="仿宋_GB2312" w:cs="仿宋_GB2312"/>
          <w:sz w:val="32"/>
          <w:szCs w:val="32"/>
        </w:rPr>
        <w:t>发现不符合抽样检验规范要求的，应当立即采取整改措施；发现存在系统性风险的，应当立即向省局食品安全抽检监测处（以下简称食品抽检处）报告。</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承担复检工作的承检机构应当符合食品复检机构的相关要求，无正当理由不得拒绝复检任务，确实无法承担复检任务的，应当提出书面说明。</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承担复检工作的承检机构应定期向省局食品抽检处报告复检工作开展情况。</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初检机构应当自复检机构确定后3个工作日内，将备份样品移交至复检机构，因客观原因不能按时移交的，经受理复检的市场监督管理部门同意，可以延长3个工作日。同时保证备份样品运输过程符合国家相关规定和包装标示的要求。</w:t>
      </w: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当复检结论与初检结论不一致时，初检机构应向省局食品抽检处提交书面说明材料，省局认为有必要的，可就此开展专项调查。</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承检机构存在以下情况的，应当及时主动向省局食品抽检处书面报告：</w:t>
      </w:r>
    </w:p>
    <w:p>
      <w:pPr>
        <w:numPr>
          <w:ilvl w:val="0"/>
          <w:numId w:val="4"/>
        </w:num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因机构划转、兼并重组等，导致法人资质、检验能力等发生变化的；</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不再具备相关检验资质的；</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与被抽检的食品生产经营企业有互相从属、同属或控股等关系的；</w:t>
      </w:r>
    </w:p>
    <w:p>
      <w:pPr>
        <w:numPr>
          <w:ilvl w:val="0"/>
          <w:numId w:val="4"/>
        </w:numPr>
        <w:rPr>
          <w:rFonts w:ascii="仿宋_GB2312" w:hAnsi="仿宋_GB2312" w:eastAsia="仿宋_GB2312" w:cs="仿宋_GB2312"/>
          <w:sz w:val="32"/>
          <w:szCs w:val="32"/>
        </w:rPr>
      </w:pPr>
      <w:r>
        <w:rPr>
          <w:rFonts w:hint="eastAsia" w:ascii="仿宋_GB2312" w:hAnsi="仿宋_GB2312" w:eastAsia="仿宋_GB2312" w:cs="仿宋_GB2312"/>
          <w:sz w:val="32"/>
          <w:szCs w:val="32"/>
        </w:rPr>
        <w:t>其他应当主动报告的情况。</w:t>
      </w:r>
    </w:p>
    <w:p>
      <w:pPr>
        <w:rPr>
          <w:rFonts w:hint="eastAsia" w:ascii="仿宋_GB2312" w:hAnsi="仿宋_GB2312" w:eastAsia="仿宋_GB2312" w:cs="仿宋_GB2312"/>
          <w:b/>
          <w:bCs/>
          <w:color w:val="000000"/>
          <w:sz w:val="32"/>
          <w:szCs w:val="32"/>
        </w:rPr>
      </w:pPr>
    </w:p>
    <w:p>
      <w:pPr>
        <w:numPr>
          <w:ilvl w:val="0"/>
          <w:numId w:val="1"/>
        </w:numPr>
        <w:spacing w:after="156" w:afterLines="50"/>
        <w:ind w:firstLine="2880" w:firstLineChars="900"/>
        <w:jc w:val="left"/>
        <w:rPr>
          <w:rFonts w:hint="eastAsia" w:ascii="黑体" w:hAnsi="黑体" w:eastAsia="黑体" w:cs="黑体"/>
          <w:color w:val="000000"/>
          <w:sz w:val="32"/>
          <w:szCs w:val="32"/>
        </w:rPr>
      </w:pPr>
      <w:r>
        <w:rPr>
          <w:rFonts w:hint="eastAsia" w:ascii="黑体" w:hAnsi="黑体" w:eastAsia="黑体" w:cs="黑体"/>
          <w:color w:val="000000"/>
          <w:sz w:val="32"/>
          <w:szCs w:val="32"/>
        </w:rPr>
        <w:t xml:space="preserve"> 考核与管理</w:t>
      </w:r>
    </w:p>
    <w:p>
      <w:pPr>
        <w:autoSpaceDE w:val="0"/>
        <w:autoSpaceDN w:val="0"/>
        <w:adjustRightInd w:val="0"/>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第十四条</w:t>
      </w:r>
      <w:r>
        <w:rPr>
          <w:rFonts w:hint="eastAsia" w:ascii="仿宋_GB2312" w:hAnsi="仿宋_GB2312" w:eastAsia="仿宋_GB2312" w:cs="仿宋_GB2312"/>
          <w:color w:val="000000"/>
          <w:sz w:val="32"/>
          <w:szCs w:val="32"/>
        </w:rPr>
        <w:t xml:space="preserve"> 对承检机构的考核管理应当包括实验室技术能力考核、</w:t>
      </w:r>
      <w:r>
        <w:rPr>
          <w:rFonts w:hint="eastAsia" w:ascii="仿宋_GB2312" w:hAnsi="仿宋_GB2312" w:eastAsia="仿宋_GB2312" w:cs="仿宋_GB2312"/>
          <w:sz w:val="32"/>
          <w:szCs w:val="32"/>
        </w:rPr>
        <w:t>现场</w:t>
      </w:r>
      <w:r>
        <w:rPr>
          <w:rFonts w:hint="eastAsia" w:ascii="仿宋_GB2312" w:hAnsi="仿宋_GB2312" w:eastAsia="仿宋_GB2312" w:cs="仿宋_GB2312"/>
          <w:color w:val="000000"/>
          <w:sz w:val="32"/>
          <w:szCs w:val="32"/>
        </w:rPr>
        <w:t>检查、数据抽查、日常工作质量考核等内容。所有考核</w:t>
      </w:r>
      <w:r>
        <w:rPr>
          <w:rFonts w:hint="eastAsia" w:ascii="仿宋_GB2312" w:hAnsi="仿宋_GB2312" w:eastAsia="仿宋_GB2312" w:cs="仿宋_GB2312"/>
          <w:sz w:val="32"/>
          <w:szCs w:val="32"/>
        </w:rPr>
        <w:t>结果</w:t>
      </w:r>
      <w:r>
        <w:rPr>
          <w:rFonts w:hint="eastAsia" w:ascii="仿宋_GB2312" w:hAnsi="仿宋_GB2312" w:eastAsia="仿宋_GB2312" w:cs="仿宋_GB2312"/>
          <w:color w:val="000000"/>
          <w:sz w:val="32"/>
          <w:szCs w:val="32"/>
        </w:rPr>
        <w:t>纳入对承检机构的综合评价。</w:t>
      </w:r>
    </w:p>
    <w:p>
      <w:pPr>
        <w:ind w:firstLine="642" w:firstLineChars="200"/>
        <w:rPr>
          <w:rFonts w:ascii="仿宋_GB2312" w:hAnsi="仿宋_GB2312" w:eastAsia="仿宋_GB2312" w:cs="仿宋_GB2312"/>
          <w:color w:val="000000"/>
          <w:sz w:val="32"/>
          <w:szCs w:val="32"/>
        </w:rPr>
      </w:pPr>
      <w:bookmarkStart w:id="7" w:name="OLE_LINK2"/>
      <w:r>
        <w:rPr>
          <w:rFonts w:hint="eastAsia" w:ascii="仿宋_GB2312" w:hAnsi="仿宋_GB2312" w:eastAsia="仿宋_GB2312" w:cs="仿宋_GB2312"/>
          <w:b/>
          <w:bCs/>
          <w:color w:val="000000"/>
          <w:sz w:val="32"/>
          <w:szCs w:val="32"/>
        </w:rPr>
        <w:t>第十五条</w:t>
      </w:r>
      <w:r>
        <w:rPr>
          <w:rFonts w:hint="eastAsia" w:ascii="仿宋_GB2312" w:hAnsi="仿宋_GB2312" w:eastAsia="仿宋_GB2312" w:cs="仿宋_GB2312"/>
          <w:color w:val="000000"/>
          <w:sz w:val="32"/>
          <w:szCs w:val="32"/>
        </w:rPr>
        <w:t xml:space="preserve"> 省局不定期组织对承检机构实验室技术能力考核并予以通报。考核内容包括：</w:t>
      </w:r>
    </w:p>
    <w:p>
      <w:pPr>
        <w:numPr>
          <w:ilvl w:val="0"/>
          <w:numId w:val="5"/>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合格样品复核：从已</w:t>
      </w:r>
      <w:r>
        <w:rPr>
          <w:rFonts w:hint="eastAsia" w:ascii="仿宋_GB2312" w:hAnsi="仿宋_GB2312" w:eastAsia="仿宋_GB2312" w:cs="仿宋_GB2312"/>
          <w:color w:val="auto"/>
          <w:sz w:val="32"/>
          <w:szCs w:val="32"/>
          <w:highlight w:val="none"/>
        </w:rPr>
        <w:t>检合格样品的备样中</w:t>
      </w:r>
      <w:r>
        <w:rPr>
          <w:rFonts w:hint="eastAsia" w:ascii="仿宋_GB2312" w:hAnsi="仿宋_GB2312" w:eastAsia="仿宋_GB2312" w:cs="仿宋_GB2312"/>
          <w:sz w:val="32"/>
          <w:szCs w:val="32"/>
        </w:rPr>
        <w:t>按照抽样检验相关规定抽取，并由指定的检验机构进行复测；</w:t>
      </w:r>
    </w:p>
    <w:p>
      <w:pPr>
        <w:numPr>
          <w:ilvl w:val="0"/>
          <w:numId w:val="5"/>
        </w:num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盲样测试考核：省局组织与食品安全抽样检验任务相关的盲样测试。</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第十六条</w:t>
      </w:r>
      <w:r>
        <w:rPr>
          <w:rFonts w:hint="eastAsia" w:ascii="仿宋_GB2312" w:hAnsi="仿宋_GB2312" w:eastAsia="仿宋_GB2312" w:cs="仿宋_GB2312"/>
          <w:color w:val="000000"/>
          <w:sz w:val="32"/>
          <w:szCs w:val="32"/>
        </w:rPr>
        <w:t xml:space="preserve"> 省局组织检查组</w:t>
      </w:r>
      <w:r>
        <w:rPr>
          <w:rFonts w:hint="eastAsia" w:ascii="仿宋_GB2312" w:hAnsi="仿宋_GB2312" w:eastAsia="仿宋_GB2312" w:cs="仿宋_GB2312"/>
          <w:sz w:val="32"/>
          <w:szCs w:val="32"/>
        </w:rPr>
        <w:t>对承检机构实施现场检查。</w:t>
      </w:r>
    </w:p>
    <w:bookmarkEnd w:id="7"/>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现场检查结束后，检查组将检查报告（纸质版）与现场检查表格等资料一并报送省局食品抽检处。检查报告主要内容包括：检查过程、总体评价、存在问题、相关证据，提出明确的检查结论和处理建议。</w:t>
      </w:r>
    </w:p>
    <w:p>
      <w:pPr>
        <w:autoSpaceDE w:val="0"/>
        <w:autoSpaceDN w:val="0"/>
        <w:adjustRightInd w:val="0"/>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省局定期组织对承检机构填报国家食品安全抽检监测信息系统数据的准确性、规范性、及时性等进行抽查。</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省局定期对承检机构开展日常考核并予以通报。考核内容包括：</w:t>
      </w:r>
    </w:p>
    <w:p>
      <w:pPr>
        <w:numPr>
          <w:ilvl w:val="0"/>
          <w:numId w:val="6"/>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按照计划和合同的安排以及省局要求，抽样检验任务完成情况；</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食品安全抽检监测问题发现率；</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复检、异议的受理、审核与答复；</w:t>
      </w:r>
    </w:p>
    <w:p>
      <w:pPr>
        <w:ind w:firstLine="640" w:firstLineChars="200"/>
        <w:rPr>
          <w:rFonts w:hint="eastAsia"/>
        </w:rPr>
      </w:pPr>
      <w:r>
        <w:rPr>
          <w:rFonts w:hint="eastAsia" w:ascii="仿宋_GB2312" w:hAnsi="仿宋_GB2312" w:eastAsia="仿宋_GB2312" w:cs="仿宋_GB2312"/>
          <w:sz w:val="32"/>
          <w:szCs w:val="32"/>
        </w:rPr>
        <w:t>（四）其他需要考核的内容。</w:t>
      </w:r>
    </w:p>
    <w:p>
      <w:pPr>
        <w:autoSpaceDE w:val="0"/>
        <w:autoSpaceDN w:val="0"/>
        <w:adjustRightInd w:val="0"/>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第十九条</w:t>
      </w:r>
      <w:r>
        <w:rPr>
          <w:rFonts w:hint="eastAsia" w:ascii="仿宋_GB2312" w:hAnsi="仿宋_GB2312" w:eastAsia="仿宋_GB2312" w:cs="仿宋_GB2312"/>
          <w:color w:val="000000"/>
          <w:sz w:val="32"/>
          <w:szCs w:val="32"/>
        </w:rPr>
        <w:t xml:space="preserve"> 省局依据考核管理结果对承检机构进行综合评价，同时将评价结果通报各市、省直管县（市）市场监管部门。</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eastAsia="仿宋_GB2312" w:cs="仿宋_GB2312"/>
          <w:sz w:val="32"/>
          <w:szCs w:val="32"/>
        </w:rPr>
        <w:t xml:space="preserve"> 承检机构当年度抽样检验工作考核情况将作为省局安排抽样检验任务的重要参考。</w:t>
      </w:r>
    </w:p>
    <w:p>
      <w:pPr>
        <w:ind w:firstLine="640" w:firstLineChars="200"/>
        <w:rPr>
          <w:rFonts w:hint="eastAsia" w:ascii="仿宋_GB2312" w:hAnsi="仿宋_GB2312" w:eastAsia="仿宋_GB2312" w:cs="仿宋_GB2312"/>
          <w:sz w:val="32"/>
          <w:szCs w:val="32"/>
        </w:rPr>
      </w:pPr>
    </w:p>
    <w:p>
      <w:pPr>
        <w:numPr>
          <w:ilvl w:val="0"/>
          <w:numId w:val="1"/>
        </w:numPr>
        <w:spacing w:after="156" w:afterLines="50"/>
        <w:ind w:firstLine="2880" w:firstLineChars="900"/>
        <w:jc w:val="left"/>
        <w:rPr>
          <w:rFonts w:hint="eastAsia" w:ascii="黑体" w:hAnsi="黑体" w:eastAsia="黑体" w:cs="黑体"/>
          <w:color w:val="000000"/>
          <w:sz w:val="32"/>
          <w:szCs w:val="32"/>
        </w:rPr>
      </w:pPr>
      <w:r>
        <w:rPr>
          <w:rFonts w:hint="eastAsia" w:ascii="黑体" w:hAnsi="黑体" w:eastAsia="黑体" w:cs="黑体"/>
          <w:color w:val="000000"/>
          <w:sz w:val="32"/>
          <w:szCs w:val="32"/>
        </w:rPr>
        <w:t>责任与处理</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xml:space="preserve"> 省局在考核中发现承检机构及其工作人员存在严重违法违规行为的，通报资质主管部门依法处理。</w:t>
      </w:r>
    </w:p>
    <w:p>
      <w:pPr>
        <w:autoSpaceDE w:val="0"/>
        <w:autoSpaceDN w:val="0"/>
        <w:adjustRightInd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xml:space="preserve"> 承检机构有下列情形之一的，责令限期整改：</w:t>
      </w:r>
    </w:p>
    <w:p>
      <w:pPr>
        <w:numPr>
          <w:ilvl w:val="0"/>
          <w:numId w:val="7"/>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通过省局组织的</w:t>
      </w:r>
      <w:r>
        <w:rPr>
          <w:rFonts w:hint="eastAsia" w:ascii="仿宋_GB2312" w:hAnsi="仿宋_GB2312" w:eastAsia="仿宋_GB2312" w:cs="仿宋_GB2312"/>
          <w:color w:val="000000"/>
          <w:sz w:val="32"/>
          <w:szCs w:val="32"/>
        </w:rPr>
        <w:t>实验室技术能力考核、</w:t>
      </w:r>
      <w:r>
        <w:rPr>
          <w:rFonts w:hint="eastAsia" w:ascii="仿宋_GB2312" w:hAnsi="仿宋_GB2312" w:eastAsia="仿宋_GB2312" w:cs="仿宋_GB2312"/>
          <w:sz w:val="32"/>
          <w:szCs w:val="32"/>
        </w:rPr>
        <w:t>现场</w:t>
      </w:r>
      <w:r>
        <w:rPr>
          <w:rFonts w:hint="eastAsia" w:ascii="仿宋_GB2312" w:hAnsi="仿宋_GB2312" w:eastAsia="仿宋_GB2312" w:cs="仿宋_GB2312"/>
          <w:color w:val="000000"/>
          <w:sz w:val="32"/>
          <w:szCs w:val="32"/>
        </w:rPr>
        <w:t>检查、数据抽查、日常工作质量考核，</w:t>
      </w:r>
      <w:r>
        <w:rPr>
          <w:rFonts w:hint="eastAsia" w:ascii="仿宋_GB2312" w:hAnsi="仿宋_GB2312" w:eastAsia="仿宋_GB2312" w:cs="仿宋_GB2312"/>
          <w:sz w:val="32"/>
          <w:szCs w:val="32"/>
        </w:rPr>
        <w:t>但仍存在其他影响抽样检验质量问题的；</w:t>
      </w:r>
    </w:p>
    <w:p>
      <w:pPr>
        <w:numPr>
          <w:ilvl w:val="0"/>
          <w:numId w:val="7"/>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承检机构通过国家食品安全抽检监测信息系统报送的抽样检验数据</w:t>
      </w:r>
      <w:r>
        <w:rPr>
          <w:rFonts w:hint="eastAsia" w:ascii="仿宋_GB2312" w:hAnsi="仿宋_GB2312" w:eastAsia="仿宋_GB2312" w:cs="仿宋_GB2312"/>
          <w:sz w:val="32"/>
          <w:szCs w:val="32"/>
          <w:highlight w:val="none"/>
        </w:rPr>
        <w:t>错误</w:t>
      </w:r>
      <w:r>
        <w:rPr>
          <w:rFonts w:hint="eastAsia" w:ascii="仿宋_GB2312" w:hAnsi="仿宋_GB2312" w:eastAsia="仿宋_GB2312" w:cs="仿宋_GB2312"/>
          <w:sz w:val="32"/>
          <w:szCs w:val="32"/>
          <w:highlight w:val="none"/>
          <w:lang w:eastAsia="zh-CN"/>
        </w:rPr>
        <w:t>较多</w:t>
      </w:r>
      <w:r>
        <w:rPr>
          <w:rFonts w:hint="eastAsia" w:ascii="仿宋_GB2312" w:hAnsi="仿宋_GB2312" w:eastAsia="仿宋_GB2312" w:cs="仿宋_GB2312"/>
          <w:sz w:val="32"/>
          <w:szCs w:val="32"/>
          <w:highlight w:val="none"/>
        </w:rPr>
        <w:t>的；</w:t>
      </w:r>
    </w:p>
    <w:p>
      <w:pPr>
        <w:autoSpaceDE w:val="0"/>
        <w:autoSpaceDN w:val="0"/>
        <w:adjustRightInd w:val="0"/>
        <w:ind w:firstLine="640" w:firstLineChars="200"/>
        <w:rPr>
          <w:rFonts w:hint="eastAsia"/>
        </w:rPr>
      </w:pPr>
      <w:r>
        <w:rPr>
          <w:rFonts w:hint="eastAsia" w:ascii="仿宋_GB2312" w:hAnsi="仿宋_GB2312" w:eastAsia="仿宋_GB2312" w:cs="仿宋_GB2312"/>
          <w:sz w:val="32"/>
          <w:szCs w:val="32"/>
        </w:rPr>
        <w:t>（三）其它未按照省局有关规定实施抽样检验的情形。</w:t>
      </w:r>
    </w:p>
    <w:p>
      <w:pPr>
        <w:autoSpaceDE w:val="0"/>
        <w:autoSpaceDN w:val="0"/>
        <w:adjustRightInd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xml:space="preserve"> 承检机构有下列情形之一的，约谈该机构主要负责人：</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承检机构出现因抽样、检验、报告出具等流程不规范或不符合法定要求，被企业提出异议，并导致异议被省局认可的；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具有食品复检资质的承检机构无正当理由拒绝承担复检任务的；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在监督抽检中不合格问题发现率排最后一名的；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因承检机构自身原因，未按规定时限和程序要求报送检验结论等抽样检验信息的；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未按约定的检验方法进行检验并出具检验报告的；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因承检机构自身原因造成备份样品无法实现复检的；</w:t>
      </w:r>
    </w:p>
    <w:p>
      <w:pPr>
        <w:numPr>
          <w:ilvl w:val="0"/>
          <w:numId w:val="8"/>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抽样检验结论表明不合格食品可能对身体健康和生命安全造成严重危害，未按规定时限和程序要求报告的；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因承检机构自身原因，未对约定的检验项目进行检验的；</w:t>
      </w:r>
    </w:p>
    <w:p>
      <w:pPr>
        <w:numPr>
          <w:ilvl w:val="0"/>
          <w:numId w:val="8"/>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应主动报告但未主动报告或申请回避，被投诉举报并查实的；</w:t>
      </w:r>
    </w:p>
    <w:p>
      <w:pPr>
        <w:autoSpaceDE w:val="0"/>
        <w:autoSpaceDN w:val="0"/>
        <w:adjustRightInd w:val="0"/>
        <w:ind w:firstLine="640" w:firstLineChars="200"/>
        <w:rPr>
          <w:rFonts w:eastAsia="仿宋_GB2312"/>
        </w:rPr>
      </w:pPr>
      <w:r>
        <w:rPr>
          <w:rFonts w:hint="eastAsia" w:ascii="仿宋_GB2312" w:hAnsi="仿宋_GB2312" w:eastAsia="仿宋_GB2312" w:cs="仿宋_GB2312"/>
          <w:sz w:val="32"/>
          <w:szCs w:val="32"/>
        </w:rPr>
        <w:t>（十）违反规定事先通知被抽检食品生产经营者的；</w:t>
      </w:r>
    </w:p>
    <w:p>
      <w:p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（十一）其它未按照省局有关规定实施抽样检验的情形。</w:t>
      </w:r>
    </w:p>
    <w:p>
      <w:pPr>
        <w:autoSpaceDE w:val="0"/>
        <w:autoSpaceDN w:val="0"/>
        <w:adjustRightInd w:val="0"/>
        <w:ind w:firstLine="642" w:firstLineChars="200"/>
        <w:rPr>
          <w:rFonts w:hint="eastAsia" w:ascii="仿宋_GB2312" w:hAnsi="仿宋_GB2312" w:eastAsia="仿宋_GB2312" w:cs="仿宋_GB2312"/>
          <w:sz w:val="32"/>
          <w:szCs w:val="32"/>
          <w:highlight w:val="none"/>
          <w:lang w:eastAsia="zh-CN"/>
        </w:rPr>
      </w:pPr>
      <w:r>
        <w:rPr>
          <w:rFonts w:ascii="仿宋_GB2312" w:hAnsi="仿宋_GB2312" w:eastAsia="仿宋_GB2312" w:cs="仿宋_GB2312"/>
          <w:b/>
          <w:bCs/>
          <w:sz w:val="32"/>
          <w:szCs w:val="32"/>
        </w:rPr>
        <w:t>第二十</w:t>
      </w:r>
      <w:r>
        <w:rPr>
          <w:rFonts w:hint="eastAsia" w:ascii="仿宋_GB2312" w:hAnsi="仿宋_GB2312" w:eastAsia="仿宋_GB2312" w:cs="仿宋_GB2312"/>
          <w:b/>
          <w:bCs/>
          <w:sz w:val="32"/>
          <w:szCs w:val="32"/>
        </w:rPr>
        <w:t>四</w:t>
      </w:r>
      <w:r>
        <w:rPr>
          <w:rFonts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承检机构有下列情形之一的，暂停委托其承担食品安全抽样检验任务：</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未通过省局组织的现场检查的；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未通过省局组织的盲样测试考核，或无正当理由未参加盲样测试考核的；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未通过省局组织的合格样品复核，或无正当理由未参加合格样品复核的；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未通过省局组织的数据抽查的；</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未通过省局组织的日常工作质量考核的；</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未经允许，擅自将抽样检验任务转交其他检验机构，或将抽样检验项目进行分包的；</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承检机构连续出现三次及以上因抽样、检验、报告出具等流程不规范或不符合法定要求，被企业提出异议，并导致异议被省局认可的；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超出资质认定批准范围出具食品安全监督抽检检验报告的;</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拒绝、阻挠、逃避省局食品抽检处检查考核的；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年度综合考核评价成绩排最后一名，且与排其前一位的承检机构分数相差五分及以上的；</w:t>
      </w:r>
    </w:p>
    <w:p>
      <w:pPr>
        <w:numPr>
          <w:ilvl w:val="0"/>
          <w:numId w:val="9"/>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检验结论经复检被推翻三次及以上的；</w:t>
      </w:r>
    </w:p>
    <w:p>
      <w:pPr>
        <w:numPr>
          <w:ilvl w:val="0"/>
          <w:numId w:val="9"/>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其他需要暂停委托食品安全抽样检验任务的情形。</w:t>
      </w:r>
    </w:p>
    <w:p>
      <w:pPr>
        <w:autoSpaceDE w:val="0"/>
        <w:autoSpaceDN w:val="0"/>
        <w:adjustRightInd w:val="0"/>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xml:space="preserve"> 承检机构有下列情形之一的，合同期内不再委托其承担食品安全抽样检验任务：</w:t>
      </w:r>
    </w:p>
    <w:p>
      <w:pPr>
        <w:numPr>
          <w:ilvl w:val="0"/>
          <w:numId w:val="10"/>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被暂停委托承担食品安全抽样检验任务，整改后现场复查仍未通过的；</w:t>
      </w:r>
    </w:p>
    <w:p>
      <w:pPr>
        <w:numPr>
          <w:ilvl w:val="0"/>
          <w:numId w:val="10"/>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其他需要合同期内不再委托其承担食品安全抽样检验任务的情形。</w:t>
      </w:r>
    </w:p>
    <w:p>
      <w:pPr>
        <w:autoSpaceDE w:val="0"/>
        <w:autoSpaceDN w:val="0"/>
        <w:adjustRightInd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xml:space="preserve"> 承检机构及其工作人员有下列情形之一的，收回按照合同支付的抽样检验费用，不再委托其承担省局食品安全抽样检验任务，由认证检测监管部门按照《检验检测机构监督管理办法》相关规定处理：</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泄露、擅自使用或发布食品安全抽样检验信息的；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利用抽检监测工作之便牟取不正当利益的；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谎报、瞒报食品安全抽样检验信息的；</w:t>
      </w:r>
    </w:p>
    <w:p>
      <w:pPr>
        <w:numPr>
          <w:ilvl w:val="0"/>
          <w:numId w:val="11"/>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抽样检验工作出现重大差错导致严重不良后果的；</w:t>
      </w:r>
    </w:p>
    <w:p>
      <w:pPr>
        <w:numPr>
          <w:ilvl w:val="0"/>
          <w:numId w:val="11"/>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未按规定的时限和程序报告不合格检验结论，造成严重后果的；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未经检验，出具虚假检验报告的；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伪造、编造或篡改检验数据，出具虚假检验报告的；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调换样品，出具虚假检验报告的；</w:t>
      </w:r>
    </w:p>
    <w:p>
      <w:pPr>
        <w:numPr>
          <w:ilvl w:val="0"/>
          <w:numId w:val="11"/>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其他需要终止委托食品安全抽样检验任务的情形。</w:t>
      </w:r>
    </w:p>
    <w:p>
      <w:pPr>
        <w:autoSpaceDE w:val="0"/>
        <w:autoSpaceDN w:val="0"/>
        <w:adjustRightInd w:val="0"/>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xml:space="preserve"> 承检机构整改：</w:t>
      </w:r>
    </w:p>
    <w:p>
      <w:pPr>
        <w:numPr>
          <w:ilvl w:val="0"/>
          <w:numId w:val="12"/>
        </w:numPr>
        <w:autoSpaceDE w:val="0"/>
        <w:autoSpaceDN w:val="0"/>
        <w:adjustRightInd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对于限期整改及被约谈的，承检机构应在整改期内向省局提交整改材料，省局组织专家审核，审核仍未通过的，暂停委托其承担食品安全抽样检验任务。</w:t>
      </w:r>
    </w:p>
    <w:p>
      <w:pPr>
        <w:numPr>
          <w:ilvl w:val="0"/>
          <w:numId w:val="12"/>
        </w:num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暂停委托食品安全抽样检验任务的承检机构，应在暂停期内向省局提交整改材料，省局收到整改材料后组织专家审核，必要时安排现场核查。审核和现场核查通过的，恢复抽样检验任务；未通过的整改至合格为止。</w:t>
      </w:r>
    </w:p>
    <w:p>
      <w:pPr>
        <w:autoSpaceDE w:val="0"/>
        <w:autoSpaceDN w:val="0"/>
        <w:adjustRightInd w:val="0"/>
        <w:ind w:firstLine="642"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highlight w:val="none"/>
        </w:rPr>
        <w:t>承检机构被暂停以及不再委托承担食品安全抽样检验任务的，省局可根据食品安全抽样检验任务时限等情况，将抽样检验任务重新委托给其他符合条件的承检机构。省局在通报处理结果的同时，抄送各市、省直管县（市）市场监管部门、省局本级各食品安全承检机构和认证检测监管部门。</w:t>
      </w:r>
    </w:p>
    <w:p>
      <w:pPr>
        <w:rPr>
          <w:rFonts w:hint="eastAsia" w:ascii="仿宋_GB2312" w:hAnsi="仿宋_GB2312" w:eastAsia="仿宋_GB2312" w:cs="仿宋_GB2312"/>
          <w:b/>
          <w:bCs/>
          <w:sz w:val="32"/>
          <w:szCs w:val="32"/>
        </w:rPr>
      </w:pPr>
    </w:p>
    <w:p>
      <w:pPr>
        <w:numPr>
          <w:ilvl w:val="0"/>
          <w:numId w:val="1"/>
        </w:numPr>
        <w:ind w:firstLine="2880" w:firstLineChars="900"/>
        <w:jc w:val="left"/>
        <w:rPr>
          <w:rFonts w:hint="eastAsia" w:ascii="黑体" w:hAnsi="黑体" w:eastAsia="黑体" w:cs="黑体"/>
          <w:sz w:val="32"/>
          <w:szCs w:val="32"/>
        </w:rPr>
      </w:pPr>
      <w:r>
        <w:rPr>
          <w:rFonts w:hint="eastAsia" w:ascii="黑体" w:hAnsi="黑体" w:eastAsia="黑体" w:cs="黑体"/>
          <w:sz w:val="32"/>
          <w:szCs w:val="32"/>
        </w:rPr>
        <w:t xml:space="preserve"> 附 则</w:t>
      </w:r>
    </w:p>
    <w:p>
      <w:pPr>
        <w:pStyle w:val="3"/>
        <w:ind w:left="2728" w:firstLine="0" w:firstLineChars="0"/>
      </w:pP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xml:space="preserve"> 承检机构考核管理所需费用及相关抽样检验费用纳入省局年度经费预算。</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xml:space="preserve"> 根据长三角市场监管一体化协议，对承检机构管理考核的有关信息向长三角区域其他一市二省市场监管局通报。</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xml:space="preserve"> 各市、省直管县（市）市场监管部门自行组织开展的食品安全抽样检验工作，可参照本办法制定相关规则。</w:t>
      </w:r>
    </w:p>
    <w:p>
      <w:pPr>
        <w:pStyle w:val="3"/>
        <w:ind w:firstLine="643"/>
        <w:rPr>
          <w:rFonts w:hint="eastAsia"/>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xml:space="preserve"> 省局对承担全省各市、省直管县（市）、县（区）级市场监管局组织的食品安全抽检任务机构的延伸管理适用本办法。</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xml:space="preserve"> 本办法由</w:t>
      </w:r>
      <w:r>
        <w:rPr>
          <w:rFonts w:hint="eastAsia" w:ascii="仿宋_GB2312" w:hAnsi="仿宋_GB2312" w:eastAsia="仿宋_GB2312" w:cs="仿宋_GB2312"/>
          <w:sz w:val="32"/>
          <w:szCs w:val="32"/>
          <w:lang w:eastAsia="zh-CN"/>
        </w:rPr>
        <w:t>安徽省市场监督管理局</w:t>
      </w:r>
      <w:r>
        <w:rPr>
          <w:rFonts w:hint="eastAsia" w:ascii="仿宋_GB2312" w:hAnsi="仿宋_GB2312" w:eastAsia="仿宋_GB2312" w:cs="仿宋_GB2312"/>
          <w:sz w:val="32"/>
          <w:szCs w:val="32"/>
        </w:rPr>
        <w:t>负责解释。</w:t>
      </w:r>
    </w:p>
    <w:p>
      <w:pPr>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xml:space="preserve"> 本办法自发布之日起施行。</w:t>
      </w:r>
    </w:p>
    <w:p/>
    <w:p/>
    <w:p>
      <w:pPr>
        <w:ind w:left="1476" w:leftChars="304" w:hanging="838" w:hangingChars="2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附件：1.安徽省食品安全承检机构年度综合考核评价工作实施细则</w:t>
      </w:r>
    </w:p>
    <w:p>
      <w:pPr>
        <w:ind w:left="1464" w:leftChars="697" w:firstLine="1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2.安徽省食品安全承检机构现场检查工作实施细则</w:t>
      </w:r>
    </w:p>
    <w:p>
      <w:pPr>
        <w:ind w:left="1476" w:leftChars="70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3.安徽省食品安全承检机构日常工作质量考核工作实施细则</w:t>
      </w:r>
    </w:p>
    <w:p>
      <w:pPr>
        <w:ind w:left="1476" w:leftChars="70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4.安徽省省局组织抽检监测任务数据抽查工作实施细则</w:t>
      </w:r>
    </w:p>
    <w:p>
      <w:pPr>
        <w:ind w:firstLine="1478" w:firstLineChars="46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5.安徽省食品安全承检机构合格样品复核工作方案</w:t>
      </w:r>
    </w:p>
    <w:p>
      <w:pPr>
        <w:ind w:left="1476" w:leftChars="703"/>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6.安徽省食品安全承检机构盲样测试考核工作实施细则</w:t>
      </w:r>
    </w:p>
    <w:p>
      <w:pPr>
        <w:pStyle w:val="3"/>
        <w:ind w:left="748" w:leftChars="356" w:firstLine="0" w:firstLineChars="0"/>
        <w:rPr>
          <w:rFonts w:hint="eastAsia"/>
        </w:rPr>
      </w:pPr>
    </w:p>
    <w:p>
      <w:pPr>
        <w:pStyle w:val="3"/>
        <w:ind w:firstLine="0" w:firstLineChars="0"/>
      </w:pPr>
    </w:p>
    <w:p>
      <w:pPr>
        <w:jc w:val="center"/>
        <w:rPr>
          <w:rFonts w:hint="eastAsia"/>
          <w:b/>
          <w:bCs/>
          <w:sz w:val="44"/>
          <w:szCs w:val="44"/>
        </w:rPr>
      </w:pPr>
    </w:p>
    <w:p>
      <w:pPr>
        <w:pStyle w:val="3"/>
        <w:rPr>
          <w:rFonts w:eastAsia="仿宋_GB2312"/>
        </w:rPr>
      </w:pPr>
    </w:p>
    <w:p>
      <w:pPr>
        <w:pStyle w:val="3"/>
        <w:rPr>
          <w:rFonts w:eastAsia="仿宋_GB2312"/>
        </w:rPr>
      </w:pPr>
    </w:p>
    <w:p>
      <w:pPr>
        <w:pStyle w:val="3"/>
        <w:rPr>
          <w:rFonts w:eastAsia="仿宋_GB2312"/>
        </w:rPr>
      </w:pPr>
    </w:p>
    <w:p>
      <w:pPr>
        <w:pStyle w:val="3"/>
        <w:rPr>
          <w:rFonts w:eastAsia="仿宋_GB2312"/>
        </w:rPr>
      </w:pPr>
    </w:p>
    <w:p>
      <w:pPr>
        <w:pStyle w:val="3"/>
        <w:rPr>
          <w:rFonts w:eastAsia="仿宋_GB2312"/>
        </w:rPr>
      </w:pPr>
    </w:p>
    <w:p>
      <w:pPr>
        <w:pStyle w:val="3"/>
        <w:rPr>
          <w:rFonts w:eastAsia="仿宋_GB2312"/>
        </w:rPr>
      </w:pPr>
    </w:p>
    <w:p>
      <w:pPr>
        <w:pStyle w:val="3"/>
        <w:ind w:firstLine="0" w:firstLineChars="0"/>
        <w:rPr>
          <w:rFonts w:hint="eastAsia" w:ascii="黑体" w:hAnsi="黑体" w:eastAsia="黑体" w:cs="黑体"/>
          <w:sz w:val="32"/>
          <w:szCs w:val="32"/>
        </w:rPr>
      </w:pPr>
      <w:r>
        <w:rPr>
          <w:rFonts w:hint="eastAsia" w:ascii="黑体" w:hAnsi="黑体" w:eastAsia="黑体" w:cs="黑体"/>
          <w:sz w:val="32"/>
          <w:szCs w:val="32"/>
        </w:rPr>
        <w:t>附件1</w:t>
      </w:r>
    </w:p>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安徽省食品安全承检机构年度综合考核</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评价工作实施细则</w:t>
      </w:r>
    </w:p>
    <w:p>
      <w:pPr>
        <w:jc w:val="center"/>
        <w:rPr>
          <w:rFonts w:hint="eastAsia"/>
          <w:sz w:val="44"/>
          <w:szCs w:val="44"/>
        </w:rPr>
      </w:pP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制定目的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为规范省局食品安全承检机构年度综合考核评价工作，根据《食品安全抽样检验管理办法》《安徽省食品安全承检机构管理办法》等相关规定，制定本细则。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适用范围</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省局食品抽检处对承担省局组织的国家和省级食品安全抽样检验任务的检验机构年度综合考核评价，适用本细则。</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2.时间和内容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省局食品抽检处每考核年度最后1个月对本年度承检机构综合情况进行考核评价。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省局食品抽检处汇总各承检机构现场检查、问题发现率、日常工作质量考核、数据抽查、合格样品复核、盲样测试考核等情况，对各承检机构进行综合评分并排名。</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3.结果评价</w:t>
      </w:r>
    </w:p>
    <w:p>
      <w:pPr>
        <w:autoSpaceDE w:val="0"/>
        <w:autoSpaceDN w:val="0"/>
        <w:adjustRightIn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遵循科学性、规范性、稳定性的原则，对各承检机构各项考核方式按照一定的权重采用综合评分的方法进行考核。各考核方式权重分配见附件。</w:t>
      </w:r>
    </w:p>
    <w:p>
      <w:pPr>
        <w:pStyle w:val="3"/>
        <w:ind w:firstLine="643"/>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4.结果与处理</w:t>
      </w:r>
    </w:p>
    <w:p>
      <w:pPr>
        <w:pStyle w:val="3"/>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 省局食品抽检处将综合考核结果向各市及省直管县（市）市场监督管理局、省局各承检机构进行通报。</w:t>
      </w:r>
    </w:p>
    <w:p>
      <w:pPr>
        <w:pStyle w:val="3"/>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 年度综合考核结果将作为下一年度省局食品安全抽样检验任务分配的重要依据。</w:t>
      </w:r>
    </w:p>
    <w:p>
      <w:pPr>
        <w:pStyle w:val="3"/>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 年度综合考核分数≥90分为优秀，＜90分并且≥70分为合格，＜70为不合格。</w:t>
      </w:r>
    </w:p>
    <w:p>
      <w:pPr>
        <w:autoSpaceDE w:val="0"/>
        <w:autoSpaceDN w:val="0"/>
        <w:adjustRightInd w:val="0"/>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5.附则</w:t>
      </w:r>
    </w:p>
    <w:p>
      <w:pPr>
        <w:autoSpaceDE w:val="0"/>
        <w:autoSpaceDN w:val="0"/>
        <w:adjustRightIn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 本细则由省局食品抽检处负责解释。</w:t>
      </w:r>
    </w:p>
    <w:p>
      <w:pPr>
        <w:autoSpaceDE w:val="0"/>
        <w:autoSpaceDN w:val="0"/>
        <w:adjustRightInd w:val="0"/>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 本细则自印发之日起施行。</w:t>
      </w:r>
    </w:p>
    <w:p>
      <w:pPr>
        <w:pStyle w:val="3"/>
        <w:ind w:firstLine="640"/>
        <w:rPr>
          <w:rFonts w:hint="eastAsia" w:ascii="仿宋_GB2312" w:hAnsi="仿宋_GB2312" w:eastAsia="仿宋_GB2312" w:cs="仿宋_GB2312"/>
          <w:kern w:val="0"/>
          <w:sz w:val="32"/>
          <w:szCs w:val="32"/>
        </w:rPr>
      </w:pPr>
    </w:p>
    <w:p>
      <w:pPr>
        <w:pStyle w:val="3"/>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r>
        <w:rPr>
          <w:rFonts w:hint="eastAsia" w:ascii="仿宋_GB2312" w:eastAsia="仿宋_GB2312" w:cs="仿宋_GB2312"/>
          <w:kern w:val="0"/>
          <w:sz w:val="32"/>
          <w:szCs w:val="32"/>
        </w:rPr>
        <w:t>年度承检机构综合考核评价表</w:t>
      </w:r>
    </w:p>
    <w:p>
      <w:pPr>
        <w:pStyle w:val="3"/>
        <w:ind w:firstLine="640"/>
        <w:rPr>
          <w:rFonts w:hint="eastAsia" w:ascii="仿宋_GB2312" w:hAnsi="仿宋_GB2312" w:eastAsia="仿宋_GB2312" w:cs="仿宋_GB2312"/>
          <w:kern w:val="0"/>
          <w:sz w:val="32"/>
          <w:szCs w:val="32"/>
        </w:rPr>
      </w:pPr>
    </w:p>
    <w:p>
      <w:pPr>
        <w:pStyle w:val="3"/>
        <w:ind w:firstLine="640"/>
        <w:rPr>
          <w:rFonts w:hint="eastAsia" w:ascii="仿宋_GB2312" w:hAnsi="仿宋_GB2312" w:eastAsia="仿宋_GB2312" w:cs="仿宋_GB2312"/>
          <w:kern w:val="0"/>
          <w:sz w:val="32"/>
          <w:szCs w:val="32"/>
        </w:rPr>
      </w:pPr>
    </w:p>
    <w:p>
      <w:pPr>
        <w:pStyle w:val="3"/>
        <w:ind w:firstLine="640"/>
        <w:rPr>
          <w:rFonts w:hint="eastAsia" w:ascii="仿宋_GB2312" w:hAnsi="仿宋_GB2312" w:eastAsia="仿宋_GB2312" w:cs="仿宋_GB2312"/>
          <w:kern w:val="0"/>
          <w:sz w:val="32"/>
          <w:szCs w:val="32"/>
        </w:rPr>
      </w:pPr>
    </w:p>
    <w:p>
      <w:pPr>
        <w:pStyle w:val="3"/>
        <w:ind w:firstLine="640"/>
        <w:rPr>
          <w:rFonts w:hint="eastAsia" w:ascii="仿宋_GB2312" w:hAnsi="仿宋_GB2312" w:eastAsia="仿宋_GB2312" w:cs="仿宋_GB2312"/>
          <w:kern w:val="0"/>
          <w:sz w:val="32"/>
          <w:szCs w:val="32"/>
        </w:rPr>
      </w:pPr>
    </w:p>
    <w:p>
      <w:pPr>
        <w:pStyle w:val="3"/>
        <w:ind w:firstLine="640"/>
        <w:rPr>
          <w:rFonts w:hint="eastAsia" w:ascii="仿宋_GB2312" w:hAnsi="仿宋_GB2312" w:eastAsia="仿宋_GB2312" w:cs="仿宋_GB2312"/>
          <w:kern w:val="0"/>
          <w:sz w:val="32"/>
          <w:szCs w:val="32"/>
        </w:rPr>
      </w:pPr>
    </w:p>
    <w:p>
      <w:pPr>
        <w:autoSpaceDE w:val="0"/>
        <w:autoSpaceDN w:val="0"/>
        <w:adjustRightInd w:val="0"/>
        <w:jc w:val="left"/>
        <w:rPr>
          <w:rFonts w:hint="eastAsia" w:ascii="黑体" w:hAnsi="黑体" w:eastAsia="黑体" w:cs="黑体"/>
          <w:kern w:val="0"/>
          <w:sz w:val="32"/>
          <w:szCs w:val="32"/>
        </w:rPr>
      </w:pPr>
    </w:p>
    <w:p>
      <w:pPr>
        <w:autoSpaceDE w:val="0"/>
        <w:autoSpaceDN w:val="0"/>
        <w:adjustRightInd w:val="0"/>
        <w:jc w:val="left"/>
        <w:rPr>
          <w:rFonts w:hint="eastAsia" w:ascii="黑体" w:hAnsi="黑体" w:eastAsia="黑体" w:cs="黑体"/>
          <w:kern w:val="0"/>
          <w:sz w:val="32"/>
          <w:szCs w:val="32"/>
        </w:rPr>
      </w:pPr>
      <w:r>
        <w:rPr>
          <w:rFonts w:hint="eastAsia" w:ascii="黑体" w:hAnsi="黑体" w:eastAsia="黑体" w:cs="黑体"/>
          <w:kern w:val="0"/>
          <w:sz w:val="32"/>
          <w:szCs w:val="32"/>
        </w:rPr>
        <w:t>附件</w:t>
      </w:r>
    </w:p>
    <w:p>
      <w:pPr>
        <w:pStyle w:val="3"/>
        <w:ind w:firstLine="720"/>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年度承检机构综合考核评价表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167"/>
        <w:gridCol w:w="5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719" w:type="dxa"/>
            <w:noWrap w:val="0"/>
            <w:vAlign w:val="center"/>
          </w:tcPr>
          <w:p>
            <w:pPr>
              <w:pStyle w:val="3"/>
              <w:ind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考核方式</w:t>
            </w:r>
          </w:p>
        </w:tc>
        <w:tc>
          <w:tcPr>
            <w:tcW w:w="1167" w:type="dxa"/>
            <w:noWrap w:val="0"/>
            <w:vAlign w:val="center"/>
          </w:tcPr>
          <w:p>
            <w:pPr>
              <w:pStyle w:val="3"/>
              <w:ind w:firstLine="0" w:firstLineChars="0"/>
              <w:jc w:val="center"/>
              <w:rPr>
                <w:rFonts w:hint="eastAsia" w:ascii="黑体" w:hAnsi="黑体" w:eastAsia="黑体" w:cs="黑体"/>
                <w:kern w:val="0"/>
                <w:sz w:val="28"/>
                <w:szCs w:val="28"/>
              </w:rPr>
            </w:pPr>
            <w:r>
              <w:rPr>
                <w:rFonts w:hint="eastAsia" w:ascii="黑体" w:hAnsi="黑体" w:eastAsia="黑体" w:cs="黑体"/>
                <w:kern w:val="0"/>
                <w:sz w:val="28"/>
                <w:szCs w:val="28"/>
              </w:rPr>
              <w:t>权重</w:t>
            </w:r>
          </w:p>
        </w:tc>
        <w:tc>
          <w:tcPr>
            <w:tcW w:w="5837" w:type="dxa"/>
            <w:noWrap w:val="0"/>
            <w:vAlign w:val="center"/>
          </w:tcPr>
          <w:p>
            <w:pPr>
              <w:pStyle w:val="3"/>
              <w:ind w:firstLine="560"/>
              <w:jc w:val="center"/>
              <w:rPr>
                <w:rFonts w:hint="eastAsia" w:ascii="黑体" w:hAnsi="黑体" w:eastAsia="黑体" w:cs="黑体"/>
                <w:kern w:val="0"/>
                <w:sz w:val="28"/>
                <w:szCs w:val="28"/>
              </w:rPr>
            </w:pPr>
            <w:r>
              <w:rPr>
                <w:rFonts w:hint="eastAsia" w:ascii="黑体" w:hAnsi="黑体" w:eastAsia="黑体" w:cs="黑体"/>
                <w:kern w:val="0"/>
                <w:sz w:val="28"/>
                <w:szCs w:val="28"/>
              </w:rPr>
              <w:t>评 分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现场检查</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4/20</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现场检查满分100分，以现场检查分数为成绩，按照权重计入全年成绩。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问题发现率</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4/20</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问题发现率满分为100分，问题发现率排名第一得100分，每递减一个名次，减2分，按照权重计入全年成绩。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日常工作</w:t>
            </w:r>
          </w:p>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质量考核</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4/20</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日常工作质量考核满分为100分，各机构实际得分按照权重计入全年成绩。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数据抽查</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4/20</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每个月数据抽查一次，年终记录总成绩。按照权重计入全年成绩。（同一抽样单出现多次错误，按照实际错误数量）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盲样测试考核</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2/20</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每年组织1次盲样测试考核。成绩合格记100分，补测通过记60分，补测未通过或无理由不参加记0 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719"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合格样品复核</w:t>
            </w: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2/20</w:t>
            </w:r>
          </w:p>
        </w:tc>
        <w:tc>
          <w:tcPr>
            <w:tcW w:w="5837" w:type="dxa"/>
            <w:noWrap w:val="0"/>
            <w:vAlign w:val="center"/>
          </w:tcPr>
          <w:p>
            <w:pPr>
              <w:pStyle w:val="3"/>
              <w:spacing w:line="4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每年不定期组织合格样品复核。满分为100分。每批次合格样品复核不通过扣20分，最终得分按照权重计入全年成绩。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1719" w:type="dxa"/>
            <w:vMerge w:val="restart"/>
            <w:noWrap w:val="0"/>
            <w:vAlign w:val="center"/>
          </w:tcPr>
          <w:p>
            <w:pPr>
              <w:pStyle w:val="3"/>
              <w:spacing w:line="440" w:lineRule="exact"/>
              <w:ind w:firstLine="560"/>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w:t>
            </w:r>
          </w:p>
          <w:p>
            <w:pPr>
              <w:pStyle w:val="3"/>
              <w:spacing w:line="440" w:lineRule="exact"/>
              <w:ind w:firstLine="560"/>
              <w:rPr>
                <w:rFonts w:hint="eastAsia" w:ascii="仿宋_GB2312" w:hAnsi="仿宋_GB2312" w:eastAsia="仿宋_GB2312" w:cs="仿宋_GB2312"/>
                <w:kern w:val="0"/>
                <w:sz w:val="28"/>
                <w:szCs w:val="28"/>
              </w:rPr>
            </w:pP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扣分项</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委托期内存在约谈、暂停任务情形的，或存在其它违法违规行为的，根据情节严重程度扣分。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719" w:type="dxa"/>
            <w:vMerge w:val="continue"/>
            <w:noWrap w:val="0"/>
            <w:vAlign w:val="center"/>
          </w:tcPr>
          <w:p>
            <w:pPr>
              <w:pStyle w:val="3"/>
              <w:spacing w:line="440" w:lineRule="exact"/>
              <w:ind w:firstLine="560"/>
              <w:rPr>
                <w:rFonts w:hint="eastAsia" w:ascii="仿宋_GB2312" w:hAnsi="仿宋_GB2312" w:eastAsia="仿宋_GB2312" w:cs="仿宋_GB2312"/>
                <w:kern w:val="0"/>
                <w:sz w:val="28"/>
                <w:szCs w:val="28"/>
              </w:rPr>
            </w:pPr>
          </w:p>
        </w:tc>
        <w:tc>
          <w:tcPr>
            <w:tcW w:w="1167" w:type="dxa"/>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加分项</w:t>
            </w:r>
          </w:p>
        </w:tc>
        <w:tc>
          <w:tcPr>
            <w:tcW w:w="5837" w:type="dxa"/>
            <w:noWrap w:val="0"/>
            <w:vAlign w:val="center"/>
          </w:tcPr>
          <w:p>
            <w:pPr>
              <w:pStyle w:val="3"/>
              <w:spacing w:line="440" w:lineRule="exact"/>
              <w:ind w:firstLine="56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风险预警交流会、专家解读会、异议研判会、风险会商、消费提示撰写等。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886" w:type="dxa"/>
            <w:gridSpan w:val="2"/>
            <w:noWrap w:val="0"/>
            <w:vAlign w:val="center"/>
          </w:tcPr>
          <w:p>
            <w:pPr>
              <w:pStyle w:val="3"/>
              <w:spacing w:line="440" w:lineRule="exact"/>
              <w:ind w:firstLine="0" w:firstLineChars="0"/>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备注</w:t>
            </w:r>
          </w:p>
        </w:tc>
        <w:tc>
          <w:tcPr>
            <w:tcW w:w="5837" w:type="dxa"/>
            <w:noWrap w:val="0"/>
            <w:vAlign w:val="center"/>
          </w:tcPr>
          <w:p>
            <w:pPr>
              <w:pStyle w:val="3"/>
              <w:spacing w:line="440" w:lineRule="exact"/>
              <w:ind w:firstLine="560"/>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不再委托承担省局食品安全抽样检验任务情形的机构，考核结果为不合格。</w:t>
            </w:r>
          </w:p>
        </w:tc>
      </w:tr>
    </w:tbl>
    <w:p>
      <w:pPr>
        <w:jc w:val="center"/>
        <w:rPr>
          <w:rFonts w:hint="eastAsia"/>
          <w:b/>
          <w:bCs/>
          <w:sz w:val="44"/>
          <w:szCs w:val="44"/>
        </w:rPr>
        <w:sectPr>
          <w:footerReference r:id="rId3" w:type="default"/>
          <w:pgSz w:w="11906" w:h="16838"/>
          <w:pgMar w:top="2098" w:right="1474" w:bottom="1984" w:left="1588" w:header="851" w:footer="992" w:gutter="0"/>
          <w:pgNumType w:fmt="numberInDash"/>
          <w:cols w:space="720" w:num="1"/>
          <w:docGrid w:type="line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附件2</w:t>
      </w:r>
    </w:p>
    <w:p>
      <w:pPr>
        <w:pStyle w:val="3"/>
        <w:rPr>
          <w:rFonts w:ascii="Calibri" w:hAnsi="Calibri"/>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安徽省食品安全承检机构现场检查工作</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spacing w:line="580" w:lineRule="exact"/>
        <w:jc w:val="center"/>
        <w:rPr>
          <w:rFonts w:hint="eastAsia"/>
          <w:sz w:val="44"/>
          <w:szCs w:val="44"/>
        </w:rPr>
      </w:pPr>
    </w:p>
    <w:p>
      <w:pPr>
        <w:autoSpaceDE w:val="0"/>
        <w:autoSpaceDN w:val="0"/>
        <w:adjustRightInd w:val="0"/>
        <w:spacing w:line="580" w:lineRule="exact"/>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1.总则</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制定目的</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为规范安徽省食品安全承检机构现场检查工作，根据《食品安全抽样检验管理办法》</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《安徽省食品安全承检机构管理办法》等相关规定，制定本细则。</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 适用范围</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本细则适用于对承担省局组织的国家和省级食品安全抽样检验任务的承检机构组织开展的现场检查工作。</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 组织实施</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省局食品抽检处负责承检机构现场检查工作的组织实施。</w:t>
      </w:r>
    </w:p>
    <w:p>
      <w:pPr>
        <w:autoSpaceDE w:val="0"/>
        <w:autoSpaceDN w:val="0"/>
        <w:adjustRightInd w:val="0"/>
        <w:spacing w:line="580" w:lineRule="exact"/>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2.内容和人员</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 检查内容</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食品检验机构资质认定条件及项目合同书承诺条件保持情况，食品安全抽样检验任务实施情况，食品安全抽样检验相关制度执行情况，实验室管理、质量控制等制度落实情况，以及检验能力等。</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 检查人员</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w:t>
      </w:r>
      <w:r>
        <w:rPr>
          <w:rFonts w:hint="eastAsia" w:ascii="仿宋_GB2312" w:hAnsi="仿宋_GB2312" w:eastAsia="仿宋_GB2312" w:cs="仿宋_GB2312"/>
          <w:color w:val="auto"/>
          <w:kern w:val="0"/>
          <w:sz w:val="32"/>
          <w:szCs w:val="32"/>
          <w:highlight w:val="none"/>
        </w:rPr>
        <w:t>根据需要</w:t>
      </w:r>
      <w:r>
        <w:rPr>
          <w:rFonts w:hint="eastAsia" w:ascii="仿宋_GB2312" w:hAnsi="仿宋_GB2312" w:eastAsia="仿宋_GB2312" w:cs="仿宋_GB2312"/>
          <w:color w:val="auto"/>
          <w:kern w:val="0"/>
          <w:sz w:val="32"/>
          <w:szCs w:val="32"/>
          <w:highlight w:val="none"/>
          <w:lang w:val="en-US" w:eastAsia="zh-CN"/>
        </w:rPr>
        <w:t>抽取</w:t>
      </w:r>
      <w:r>
        <w:rPr>
          <w:rFonts w:hint="eastAsia" w:ascii="仿宋_GB2312" w:hAnsi="仿宋_GB2312" w:eastAsia="仿宋_GB2312" w:cs="仿宋_GB2312"/>
          <w:color w:val="auto"/>
          <w:kern w:val="0"/>
          <w:sz w:val="32"/>
          <w:szCs w:val="32"/>
          <w:highlight w:val="none"/>
        </w:rPr>
        <w:t>省局食品安全抽检监测专家组成检查组。其中组长1人，组员不少于2人。检查组实行组长负责制。组长应当具有丰富的食品检验机构管</w:t>
      </w:r>
      <w:r>
        <w:rPr>
          <w:rFonts w:hint="eastAsia" w:ascii="仿宋_GB2312" w:hAnsi="仿宋_GB2312" w:eastAsia="仿宋_GB2312" w:cs="仿宋_GB2312"/>
          <w:kern w:val="0"/>
          <w:sz w:val="32"/>
          <w:szCs w:val="32"/>
        </w:rPr>
        <w:t>理经验，熟悉食品抽样检验工作。组员应当具有丰富的食品检验机构工作或管理经验。必要时省局食品抽检处可选派人员参与检查。</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 检查依据</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食品安全抽样检验相关法律法规以及承检机构现场检查表。</w:t>
      </w:r>
    </w:p>
    <w:p>
      <w:pPr>
        <w:autoSpaceDE w:val="0"/>
        <w:autoSpaceDN w:val="0"/>
        <w:adjustRightInd w:val="0"/>
        <w:spacing w:line="580" w:lineRule="exact"/>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3.程序和要求</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 检查对象</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省局食品抽检处每年组织至少一次对承检机构的现场检查。对被投诉或举报的、数据抽查问题较多、不合格样品检出率异常、未通过盲样测试考核或合格样品复核的承检机构加强检查。</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 检查准备</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 在开展现场检查工作前，省局食品抽检处确定检查组组长和检查组成员，组建检查组。</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3.2.2 省局食品抽检处负责准备承检机构食品安全抽样检验任务实施情况、拟抽查的样品、检查所需的文件等。</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3.2.3 检查组一般提前一日通知被检查的承检机构现场检查事宜。</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 现场检查程序</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3.3.1 现场检查开始前，检查组长应确定检查员分工、检查重点等。检查员应签署承诺书（附件1），填写《会议签到表》（附件4）。</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3.3.2 检查组应向承检机构出示现场检查告知书（附件3），说明现场检查程序、安排、工作纪律及工作要求（附件2），告知需提供的材料及其他需配合事项。</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3.3.3 现场检查时，检查员应按照要求，对现场检查表所列项目及其涵盖内容进行全面检查，如实记录现场检查情况，逐项作出评定，综合进行结果判定。</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3.3.4 现场检查可采取抽查原始记录、查阅文件资料、现场问询等方式，应复制原始记录、检验报告、电子数据等进行现场取证。</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3.3.5 检查组长应召集检查员，研究检查情况，汇总分析检查发现的问题，并与被检查的承检机构进行沟通。</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3.3.6 现场检查结束前，检查组根据检查情况填写《现场检查记录表》（附件5）、《承检机构现场检查证据汇总表》（附件6）。</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3.3.7 检查组根据现场检查情况提出指导意见，要求其在《承检机构现场检查证据汇总表》等文书上签字、盖章。</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3.4 承检机构拒绝、阻挠、逃避现场检查的，检查组应将相关情况上报。</w:t>
      </w:r>
    </w:p>
    <w:p>
      <w:pPr>
        <w:autoSpaceDE w:val="0"/>
        <w:autoSpaceDN w:val="0"/>
        <w:adjustRightIn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 检查中发现承检机构严重违反抽样检验相关规定的情况，立即现场取证，并报告省局食品抽检处。</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3.6 检查组应撰写现场检查工作报告，如实报告检查过程、发现的问题、证据材料、检查结果和处理建议，于检查结束后5个工作日内报省局食品抽检处。</w:t>
      </w:r>
    </w:p>
    <w:p>
      <w:pPr>
        <w:autoSpaceDE w:val="0"/>
        <w:autoSpaceDN w:val="0"/>
        <w:adjustRightInd w:val="0"/>
        <w:spacing w:line="580" w:lineRule="exact"/>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4.结果评价</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现场检查满分100分，以《现场检查表》（附件5）为依据进行综合打分，得分率大于或等于70分检查结果为通过，得分低于70分为不通过。</w:t>
      </w:r>
    </w:p>
    <w:p>
      <w:pPr>
        <w:pStyle w:val="3"/>
        <w:spacing w:line="580" w:lineRule="exact"/>
        <w:ind w:left="63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5.结果与处理</w:t>
      </w:r>
    </w:p>
    <w:p>
      <w:pPr>
        <w:pStyle w:val="3"/>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未通过现场检查的，按照《安徽省食品安全承检机构管理办法》进行处理。</w:t>
      </w:r>
    </w:p>
    <w:p>
      <w:pPr>
        <w:autoSpaceDE w:val="0"/>
        <w:autoSpaceDN w:val="0"/>
        <w:adjustRightInd w:val="0"/>
        <w:spacing w:line="580" w:lineRule="exact"/>
        <w:ind w:firstLine="642"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6.附则</w:t>
      </w:r>
    </w:p>
    <w:p>
      <w:pPr>
        <w:autoSpaceDE w:val="0"/>
        <w:autoSpaceDN w:val="0"/>
        <w:adjustRightIn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 本细则由</w:t>
      </w:r>
      <w:r>
        <w:rPr>
          <w:rFonts w:hint="eastAsia" w:ascii="仿宋_GB2312" w:hAnsi="仿宋_GB2312" w:eastAsia="仿宋_GB2312" w:cs="仿宋_GB2312"/>
          <w:kern w:val="0"/>
          <w:sz w:val="32"/>
          <w:szCs w:val="32"/>
          <w:lang w:eastAsia="zh-CN"/>
        </w:rPr>
        <w:t>安徽省市场监督管理局</w:t>
      </w:r>
      <w:r>
        <w:rPr>
          <w:rFonts w:hint="eastAsia" w:ascii="仿宋_GB2312" w:hAnsi="仿宋_GB2312" w:eastAsia="仿宋_GB2312" w:cs="仿宋_GB2312"/>
          <w:kern w:val="0"/>
          <w:sz w:val="32"/>
          <w:szCs w:val="32"/>
        </w:rPr>
        <w:t>负责解释。</w:t>
      </w:r>
    </w:p>
    <w:p>
      <w:pPr>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 本细则自印发之日起施行。</w:t>
      </w: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1600" w:firstLineChars="500"/>
        <w:rPr>
          <w:rFonts w:hint="eastAsia" w:ascii="仿宋_GB2312" w:hAnsi="仿宋_GB2312" w:eastAsia="仿宋_GB2312" w:cs="仿宋_GB2312"/>
          <w:kern w:val="0"/>
          <w:sz w:val="32"/>
          <w:szCs w:val="32"/>
        </w:rPr>
      </w:pPr>
    </w:p>
    <w:p>
      <w:pPr>
        <w:autoSpaceDE w:val="0"/>
        <w:autoSpaceDN w:val="0"/>
        <w:adjustRightInd w:val="0"/>
        <w:spacing w:line="58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autoSpaceDE w:val="0"/>
        <w:autoSpaceDN w:val="0"/>
        <w:adjustRightInd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安徽省市场监督管理局食品安全抽检承检机构现场检查工作承诺书</w:t>
      </w:r>
    </w:p>
    <w:p>
      <w:pPr>
        <w:spacing w:line="58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2.安徽省市场监督管理局食品安全抽检承检机构现场检查工作纪律反馈单</w:t>
      </w:r>
    </w:p>
    <w:p>
      <w:pPr>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3.安徽省市场监督管理局食品安全抽检承检机构现场检查告知书</w:t>
      </w:r>
    </w:p>
    <w:p>
      <w:pPr>
        <w:pStyle w:val="3"/>
        <w:spacing w:line="58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kern w:val="0"/>
          <w:sz w:val="32"/>
          <w:szCs w:val="32"/>
        </w:rPr>
        <w:t>安徽省市场监督管理局食品安全抽检承检机构现场检查会议签到表</w:t>
      </w:r>
    </w:p>
    <w:p>
      <w:pPr>
        <w:ind w:firstLine="640" w:firstLineChars="200"/>
        <w:jc w:val="left"/>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5.安徽省食品安全承检机构现场检查表</w:t>
      </w:r>
    </w:p>
    <w:p>
      <w:pPr>
        <w:ind w:firstLine="640" w:firstLineChars="200"/>
        <w:jc w:val="left"/>
        <w:rPr>
          <w:rFonts w:hint="eastAsia"/>
          <w:b/>
          <w:bCs/>
          <w:sz w:val="36"/>
          <w:szCs w:val="36"/>
        </w:rPr>
      </w:pPr>
      <w:r>
        <w:rPr>
          <w:rFonts w:hint="eastAsia" w:ascii="仿宋_GB2312" w:hAnsi="仿宋_GB2312" w:eastAsia="仿宋_GB2312" w:cs="仿宋_GB2312"/>
          <w:color w:val="000000"/>
          <w:kern w:val="0"/>
          <w:sz w:val="32"/>
          <w:szCs w:val="32"/>
          <w:lang w:bidi="ar"/>
        </w:rPr>
        <w:t>6.安徽省市场监督管理局食品安全抽检承检机构现场检查证据汇总表</w:t>
      </w:r>
    </w:p>
    <w:p>
      <w:pPr>
        <w:jc w:val="left"/>
        <w:rPr>
          <w:rFonts w:hint="eastAsia" w:ascii="仿宋_GB2312" w:hAnsi="仿宋_GB2312" w:eastAsia="仿宋_GB2312" w:cs="仿宋_GB2312"/>
          <w:color w:val="000000"/>
          <w:kern w:val="0"/>
          <w:sz w:val="32"/>
          <w:szCs w:val="32"/>
          <w:lang w:bidi="ar"/>
        </w:rPr>
      </w:pPr>
    </w:p>
    <w:p>
      <w:pPr>
        <w:spacing w:line="580" w:lineRule="exact"/>
        <w:ind w:left="1901" w:leftChars="-9" w:hanging="1920" w:hangingChars="6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仿宋_GB2312" w:hAnsi="仿宋_GB2312" w:eastAsia="仿宋_GB2312" w:cs="仿宋_GB2312"/>
          <w:kern w:val="0"/>
          <w:sz w:val="32"/>
          <w:szCs w:val="32"/>
        </w:rPr>
      </w:pPr>
    </w:p>
    <w:p>
      <w:pPr>
        <w:spacing w:line="580" w:lineRule="exact"/>
        <w:ind w:left="1901" w:leftChars="-9" w:hanging="1920" w:hangingChars="600"/>
        <w:jc w:val="left"/>
        <w:rPr>
          <w:rFonts w:hint="eastAsia" w:ascii="黑体" w:hAnsi="黑体" w:eastAsia="黑体" w:cs="黑体"/>
          <w:kern w:val="0"/>
          <w:sz w:val="32"/>
          <w:szCs w:val="32"/>
        </w:rPr>
      </w:pPr>
      <w:r>
        <w:rPr>
          <w:rFonts w:hint="eastAsia" w:ascii="仿宋_GB2312" w:hAnsi="仿宋_GB2312" w:eastAsia="仿宋_GB2312" w:cs="仿宋_GB2312"/>
          <w:kern w:val="0"/>
          <w:sz w:val="32"/>
          <w:szCs w:val="32"/>
        </w:rPr>
        <w:t xml:space="preserve"> </w:t>
      </w:r>
      <w:r>
        <w:rPr>
          <w:rFonts w:hint="eastAsia" w:ascii="黑体" w:hAnsi="黑体" w:eastAsia="黑体" w:cs="黑体"/>
          <w:kern w:val="0"/>
          <w:sz w:val="32"/>
          <w:szCs w:val="32"/>
        </w:rPr>
        <w:t>附件1</w:t>
      </w:r>
    </w:p>
    <w:p>
      <w:pPr>
        <w:autoSpaceDE w:val="0"/>
        <w:autoSpaceDN w:val="0"/>
        <w:adjustRightInd w:val="0"/>
        <w:jc w:val="center"/>
        <w:rPr>
          <w:rFonts w:hint="eastAsia"/>
          <w:b/>
          <w:bCs/>
          <w:sz w:val="36"/>
          <w:szCs w:val="36"/>
        </w:rPr>
      </w:pPr>
      <w:r>
        <w:rPr>
          <w:rFonts w:hint="eastAsia"/>
          <w:b/>
          <w:bCs/>
          <w:sz w:val="36"/>
          <w:szCs w:val="36"/>
        </w:rPr>
        <w:t>安徽省市场监督管理局食品安全抽检</w:t>
      </w:r>
    </w:p>
    <w:p>
      <w:pPr>
        <w:spacing w:line="460" w:lineRule="exact"/>
        <w:jc w:val="center"/>
        <w:rPr>
          <w:rFonts w:hint="eastAsia"/>
          <w:b/>
          <w:bCs/>
          <w:sz w:val="36"/>
          <w:szCs w:val="36"/>
        </w:rPr>
      </w:pPr>
      <w:r>
        <w:rPr>
          <w:rFonts w:hint="eastAsia"/>
          <w:b/>
          <w:bCs/>
          <w:sz w:val="36"/>
          <w:szCs w:val="36"/>
        </w:rPr>
        <w:t>承检机构现场检查工作承诺书</w:t>
      </w:r>
    </w:p>
    <w:p>
      <w:pPr>
        <w:spacing w:line="460" w:lineRule="exact"/>
        <w:jc w:val="center"/>
        <w:rPr>
          <w:rFonts w:hint="eastAsia"/>
          <w:sz w:val="36"/>
          <w:szCs w:val="36"/>
        </w:rPr>
      </w:pPr>
    </w:p>
    <w:p>
      <w:pPr>
        <w:spacing w:line="460" w:lineRule="exact"/>
        <w:rPr>
          <w:rFonts w:hint="eastAsia" w:ascii="仿宋" w:hAnsi="仿宋" w:eastAsia="仿宋" w:cs="仿宋"/>
          <w:sz w:val="32"/>
          <w:szCs w:val="32"/>
        </w:rPr>
      </w:pPr>
      <w:r>
        <w:rPr>
          <w:rFonts w:hint="eastAsia" w:ascii="仿宋" w:hAnsi="仿宋" w:eastAsia="仿宋" w:cs="仿宋"/>
          <w:sz w:val="32"/>
          <w:szCs w:val="32"/>
        </w:rPr>
        <w:t xml:space="preserve">    本人荣幸成为食品安全抽检监测检查组成员，深知现场检查工作对食品安全监管以及社会公众安全的重要意义，深知肩负的重大责任。本人承诺如下：</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一、遵守国家法律法规，贯彻执行中央“八项规定”及相关文件规定，忠于职守、秉公办事、作风正派，不受任何上级及外界的干扰。</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二、遵守省市场监督管理部门的相关管理规定，认真履行职责，对现场检查结果的真实性、准确性、公正性负责。</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三、遵守职业道德，坚持原则、作风正派、保守工作秘密和相关单位的商业秘密。</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四、坚决抵制可能影响现场检查公正性的活动；不利用检查权力谋取任何不正当利益；不以任何形式提供有偿咨询服务。</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五、本人及本人亲属（夫妻、直系亲属、三代以内旁系血亲以及近姻亲）未参加此次与食品安全抽检监测承检机构现场检查有关的工作。若有上述情况，本人将申请回避。</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六、因身体状况、疾病、年龄等实际原因不能承担现场检查工作，本人将及时向有关部门说明并申请调整。</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七、本人承诺行政职能部门就现场检查工作进行调查或询问，本人依法给予积极配合，并如实报告有关情况。</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本承诺书由本人签字后生效。</w:t>
      </w:r>
    </w:p>
    <w:p>
      <w:pPr>
        <w:spacing w:line="460" w:lineRule="exact"/>
        <w:jc w:val="center"/>
        <w:rPr>
          <w:rFonts w:hint="eastAsia" w:ascii="仿宋" w:hAnsi="仿宋" w:eastAsia="仿宋" w:cs="仿宋"/>
          <w:sz w:val="32"/>
          <w:szCs w:val="32"/>
        </w:rPr>
      </w:pPr>
      <w:r>
        <w:rPr>
          <w:rFonts w:hint="eastAsia" w:ascii="仿宋" w:hAnsi="仿宋" w:eastAsia="仿宋" w:cs="仿宋"/>
          <w:sz w:val="32"/>
          <w:szCs w:val="32"/>
        </w:rPr>
        <w:t>签字：</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 xml:space="preserve">                                  年   月   日</w:t>
      </w:r>
    </w:p>
    <w:p>
      <w:pPr>
        <w:spacing w:line="460" w:lineRule="exact"/>
        <w:jc w:val="left"/>
        <w:rPr>
          <w:rFonts w:hint="eastAsia" w:ascii="仿宋" w:hAnsi="仿宋" w:eastAsia="仿宋" w:cs="仿宋"/>
          <w:sz w:val="32"/>
          <w:szCs w:val="32"/>
        </w:rPr>
      </w:pPr>
      <w:r>
        <w:rPr>
          <w:rFonts w:hint="eastAsia" w:ascii="仿宋" w:hAnsi="仿宋" w:eastAsia="仿宋" w:cs="仿宋"/>
          <w:sz w:val="32"/>
          <w:szCs w:val="32"/>
        </w:rPr>
        <w:t>（备注：检查组成员每人各一份）</w:t>
      </w:r>
    </w:p>
    <w:p>
      <w:pPr>
        <w:jc w:val="left"/>
        <w:outlineLvl w:val="1"/>
        <w:rPr>
          <w:rFonts w:hint="eastAsia" w:ascii="黑体" w:hAnsi="黑体" w:eastAsia="黑体" w:cs="黑体"/>
          <w:sz w:val="32"/>
          <w:szCs w:val="32"/>
        </w:rPr>
      </w:pPr>
      <w:r>
        <w:rPr>
          <w:rFonts w:hint="eastAsia" w:ascii="黑体" w:hAnsi="黑体" w:eastAsia="黑体" w:cs="黑体"/>
          <w:sz w:val="32"/>
          <w:szCs w:val="32"/>
        </w:rPr>
        <w:t>附件2</w:t>
      </w:r>
    </w:p>
    <w:p>
      <w:pPr>
        <w:jc w:val="center"/>
        <w:rPr>
          <w:rFonts w:hint="eastAsia"/>
          <w:b/>
          <w:bCs/>
          <w:sz w:val="36"/>
          <w:szCs w:val="36"/>
        </w:rPr>
      </w:pPr>
      <w:r>
        <w:rPr>
          <w:rFonts w:hint="eastAsia"/>
          <w:b/>
          <w:bCs/>
          <w:sz w:val="36"/>
          <w:szCs w:val="36"/>
        </w:rPr>
        <w:t>安徽省市场监督管理局食品安全抽检</w:t>
      </w:r>
    </w:p>
    <w:p>
      <w:pPr>
        <w:jc w:val="center"/>
        <w:rPr>
          <w:rFonts w:hint="eastAsia"/>
          <w:b/>
          <w:bCs/>
          <w:sz w:val="36"/>
          <w:szCs w:val="36"/>
        </w:rPr>
      </w:pPr>
      <w:r>
        <w:rPr>
          <w:rFonts w:hint="eastAsia"/>
          <w:b/>
          <w:bCs/>
          <w:sz w:val="36"/>
          <w:szCs w:val="36"/>
        </w:rPr>
        <w:t>承检机构现场检查工作纪律反馈单</w:t>
      </w:r>
    </w:p>
    <w:tbl>
      <w:tblPr>
        <w:tblStyle w:val="7"/>
        <w:tblW w:w="9990" w:type="dxa"/>
        <w:tblInd w:w="-4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2"/>
        <w:gridCol w:w="3465"/>
        <w:gridCol w:w="1365"/>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2192" w:type="dxa"/>
            <w:noWrap w:val="0"/>
            <w:vAlign w:val="center"/>
          </w:tcPr>
          <w:p>
            <w:pPr>
              <w:jc w:val="center"/>
              <w:outlineLvl w:val="1"/>
              <w:rPr>
                <w:rFonts w:ascii="仿宋" w:hAnsi="仿宋" w:eastAsia="仿宋"/>
                <w:sz w:val="24"/>
              </w:rPr>
            </w:pPr>
            <w:r>
              <w:rPr>
                <w:rFonts w:hint="eastAsia" w:ascii="仿宋" w:hAnsi="仿宋" w:eastAsia="仿宋"/>
                <w:sz w:val="24"/>
              </w:rPr>
              <w:t>被检查承检机构</w:t>
            </w:r>
          </w:p>
          <w:p>
            <w:pPr>
              <w:jc w:val="center"/>
              <w:outlineLvl w:val="1"/>
              <w:rPr>
                <w:rFonts w:ascii="仿宋" w:hAnsi="仿宋" w:eastAsia="仿宋"/>
                <w:sz w:val="24"/>
              </w:rPr>
            </w:pPr>
            <w:r>
              <w:rPr>
                <w:rFonts w:hint="eastAsia" w:ascii="仿宋" w:hAnsi="仿宋" w:eastAsia="仿宋"/>
                <w:sz w:val="24"/>
              </w:rPr>
              <w:t>名称</w:t>
            </w:r>
          </w:p>
        </w:tc>
        <w:tc>
          <w:tcPr>
            <w:tcW w:w="3465" w:type="dxa"/>
            <w:noWrap w:val="0"/>
            <w:vAlign w:val="top"/>
          </w:tcPr>
          <w:p>
            <w:pPr>
              <w:jc w:val="center"/>
              <w:outlineLvl w:val="1"/>
              <w:rPr>
                <w:rFonts w:ascii="仿宋" w:hAnsi="仿宋" w:eastAsia="仿宋"/>
                <w:sz w:val="24"/>
              </w:rPr>
            </w:pPr>
          </w:p>
        </w:tc>
        <w:tc>
          <w:tcPr>
            <w:tcW w:w="1365" w:type="dxa"/>
            <w:noWrap w:val="0"/>
            <w:vAlign w:val="top"/>
          </w:tcPr>
          <w:p>
            <w:pPr>
              <w:jc w:val="center"/>
              <w:outlineLvl w:val="1"/>
              <w:rPr>
                <w:rFonts w:ascii="仿宋" w:hAnsi="仿宋" w:eastAsia="仿宋"/>
                <w:sz w:val="24"/>
              </w:rPr>
            </w:pPr>
            <w:r>
              <w:rPr>
                <w:rFonts w:hint="eastAsia" w:ascii="仿宋" w:hAnsi="仿宋" w:eastAsia="仿宋"/>
                <w:sz w:val="24"/>
              </w:rPr>
              <w:t>检查</w:t>
            </w:r>
            <w:r>
              <w:rPr>
                <w:rFonts w:ascii="仿宋" w:hAnsi="仿宋" w:eastAsia="仿宋"/>
                <w:sz w:val="24"/>
              </w:rPr>
              <w:t>日期</w:t>
            </w:r>
          </w:p>
        </w:tc>
        <w:tc>
          <w:tcPr>
            <w:tcW w:w="2968" w:type="dxa"/>
            <w:noWrap w:val="0"/>
            <w:vAlign w:val="top"/>
          </w:tcPr>
          <w:p>
            <w:pPr>
              <w:jc w:val="center"/>
              <w:outlineLvl w:val="1"/>
              <w:rPr>
                <w:rFonts w:ascii="仿宋" w:hAnsi="仿宋" w:eastAsia="仿宋"/>
                <w:sz w:val="24"/>
              </w:rPr>
            </w:pP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月    日至</w:t>
            </w:r>
          </w:p>
          <w:p>
            <w:pPr>
              <w:jc w:val="center"/>
              <w:outlineLvl w:val="1"/>
              <w:rPr>
                <w:rFonts w:ascii="仿宋" w:hAnsi="仿宋" w:eastAsia="仿宋"/>
                <w:sz w:val="24"/>
              </w:rPr>
            </w:pPr>
            <w:r>
              <w:rPr>
                <w:rFonts w:hint="eastAsia" w:ascii="仿宋" w:hAnsi="仿宋" w:eastAsia="仿宋"/>
                <w:sz w:val="24"/>
              </w:rPr>
              <w:t xml:space="preserve"> </w:t>
            </w:r>
            <w:r>
              <w:rPr>
                <w:rFonts w:ascii="仿宋" w:hAnsi="仿宋" w:eastAsia="仿宋"/>
                <w:sz w:val="24"/>
              </w:rPr>
              <w:t>年</w:t>
            </w:r>
            <w:r>
              <w:rPr>
                <w:rFonts w:hint="eastAsia" w:ascii="仿宋" w:hAnsi="仿宋" w:eastAsia="仿宋"/>
                <w:sz w:val="24"/>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192" w:type="dxa"/>
            <w:noWrap w:val="0"/>
            <w:vAlign w:val="center"/>
          </w:tcPr>
          <w:p>
            <w:pPr>
              <w:spacing w:line="360" w:lineRule="auto"/>
              <w:jc w:val="center"/>
              <w:outlineLvl w:val="1"/>
              <w:rPr>
                <w:rFonts w:ascii="仿宋" w:hAnsi="仿宋" w:eastAsia="仿宋"/>
                <w:sz w:val="24"/>
              </w:rPr>
            </w:pPr>
            <w:r>
              <w:rPr>
                <w:rFonts w:hint="eastAsia" w:ascii="仿宋" w:hAnsi="仿宋" w:eastAsia="仿宋"/>
                <w:sz w:val="24"/>
              </w:rPr>
              <w:t>检查</w:t>
            </w:r>
            <w:r>
              <w:rPr>
                <w:rFonts w:ascii="仿宋" w:hAnsi="仿宋" w:eastAsia="仿宋"/>
                <w:sz w:val="24"/>
              </w:rPr>
              <w:t>人员姓名</w:t>
            </w:r>
          </w:p>
        </w:tc>
        <w:tc>
          <w:tcPr>
            <w:tcW w:w="7798" w:type="dxa"/>
            <w:gridSpan w:val="3"/>
            <w:noWrap w:val="0"/>
            <w:vAlign w:val="top"/>
          </w:tcPr>
          <w:p>
            <w:pPr>
              <w:spacing w:line="360" w:lineRule="auto"/>
              <w:jc w:val="center"/>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2192" w:type="dxa"/>
            <w:noWrap w:val="0"/>
            <w:vAlign w:val="center"/>
          </w:tcPr>
          <w:p>
            <w:pPr>
              <w:jc w:val="center"/>
              <w:outlineLvl w:val="1"/>
              <w:rPr>
                <w:rFonts w:ascii="仿宋" w:hAnsi="仿宋" w:eastAsia="仿宋"/>
                <w:sz w:val="24"/>
              </w:rPr>
            </w:pPr>
            <w:r>
              <w:rPr>
                <w:rFonts w:ascii="仿宋" w:hAnsi="仿宋" w:eastAsia="仿宋"/>
                <w:sz w:val="24"/>
              </w:rPr>
              <w:t>对</w:t>
            </w:r>
            <w:r>
              <w:rPr>
                <w:rFonts w:hint="eastAsia" w:ascii="仿宋" w:hAnsi="仿宋" w:eastAsia="仿宋"/>
                <w:sz w:val="24"/>
              </w:rPr>
              <w:t>监督检查</w:t>
            </w:r>
          </w:p>
          <w:p>
            <w:pPr>
              <w:jc w:val="center"/>
              <w:outlineLvl w:val="1"/>
              <w:rPr>
                <w:rFonts w:ascii="仿宋" w:hAnsi="仿宋" w:eastAsia="仿宋"/>
                <w:sz w:val="24"/>
              </w:rPr>
            </w:pPr>
            <w:r>
              <w:rPr>
                <w:rFonts w:ascii="仿宋" w:hAnsi="仿宋" w:eastAsia="仿宋"/>
                <w:sz w:val="24"/>
              </w:rPr>
              <w:t>工作的评价</w:t>
            </w:r>
          </w:p>
        </w:tc>
        <w:tc>
          <w:tcPr>
            <w:tcW w:w="7798" w:type="dxa"/>
            <w:gridSpan w:val="3"/>
            <w:noWrap w:val="0"/>
            <w:vAlign w:val="top"/>
          </w:tcPr>
          <w:p>
            <w:pPr>
              <w:spacing w:line="276" w:lineRule="auto"/>
              <w:jc w:val="left"/>
              <w:outlineLvl w:val="1"/>
              <w:rPr>
                <w:rFonts w:ascii="仿宋_GB2312" w:hAnsi="宋体" w:cs="宋体"/>
                <w:sz w:val="24"/>
              </w:rPr>
            </w:pPr>
            <w:r>
              <w:rPr>
                <w:rFonts w:hint="eastAsia" w:ascii="仿宋" w:hAnsi="仿宋" w:eastAsia="仿宋"/>
                <w:sz w:val="24"/>
              </w:rPr>
              <w:t>1.（</w:t>
            </w:r>
            <w:r>
              <w:rPr>
                <w:rFonts w:hint="eastAsia" w:ascii="仿宋_GB2312" w:hAnsi="宋体" w:cs="宋体"/>
                <w:sz w:val="24"/>
              </w:rPr>
              <w:t>□是□否）检查人员检查前，是否出具告之书和工作质量和纪律反馈单，是否提供承检机构留存联？</w:t>
            </w:r>
          </w:p>
          <w:p>
            <w:pPr>
              <w:spacing w:line="276" w:lineRule="auto"/>
              <w:jc w:val="left"/>
              <w:outlineLvl w:val="1"/>
              <w:rPr>
                <w:rFonts w:ascii="仿宋_GB2312" w:hAnsi="宋体" w:cs="宋体"/>
                <w:sz w:val="24"/>
              </w:rPr>
            </w:pPr>
            <w:r>
              <w:rPr>
                <w:rFonts w:hint="eastAsia" w:ascii="仿宋_GB2312" w:hAnsi="宋体" w:cs="宋体"/>
                <w:sz w:val="24"/>
              </w:rPr>
              <w:t>2.（□是□否）检查人员是否与告之书名单一致？</w:t>
            </w:r>
          </w:p>
          <w:p>
            <w:pPr>
              <w:spacing w:line="276" w:lineRule="auto"/>
              <w:jc w:val="left"/>
              <w:outlineLvl w:val="1"/>
              <w:rPr>
                <w:rFonts w:ascii="仿宋_GB2312" w:hAnsi="宋体" w:cs="宋体"/>
                <w:sz w:val="24"/>
              </w:rPr>
            </w:pPr>
            <w:r>
              <w:rPr>
                <w:rFonts w:hint="eastAsia" w:ascii="仿宋_GB2312" w:hAnsi="宋体" w:cs="宋体"/>
                <w:sz w:val="24"/>
              </w:rPr>
              <w:t>3.（□是□否）检查人员是否开展了现场检查？</w:t>
            </w:r>
          </w:p>
          <w:p>
            <w:pPr>
              <w:spacing w:line="276" w:lineRule="auto"/>
              <w:jc w:val="left"/>
              <w:outlineLvl w:val="1"/>
              <w:rPr>
                <w:rFonts w:ascii="仿宋_GB2312" w:hAnsi="宋体" w:cs="宋体"/>
                <w:sz w:val="24"/>
              </w:rPr>
            </w:pPr>
            <w:r>
              <w:rPr>
                <w:rFonts w:hint="eastAsia" w:ascii="仿宋_GB2312" w:hAnsi="宋体" w:cs="宋体"/>
                <w:sz w:val="24"/>
              </w:rPr>
              <w:t>4.（□是□否）检查人员是否现场抽查了检验原始记录？</w:t>
            </w:r>
          </w:p>
          <w:p>
            <w:pPr>
              <w:spacing w:line="276" w:lineRule="auto"/>
              <w:jc w:val="left"/>
              <w:outlineLvl w:val="1"/>
              <w:rPr>
                <w:rFonts w:ascii="仿宋_GB2312" w:hAnsi="宋体" w:cs="宋体"/>
                <w:sz w:val="24"/>
              </w:rPr>
            </w:pPr>
            <w:r>
              <w:rPr>
                <w:rFonts w:hint="eastAsia" w:ascii="仿宋_GB2312" w:hAnsi="宋体" w:cs="宋体"/>
                <w:sz w:val="24"/>
              </w:rPr>
              <w:t>5.（□是□否）检查是否现场通报发现问题及检查结论？</w:t>
            </w:r>
          </w:p>
          <w:p>
            <w:pPr>
              <w:spacing w:line="276" w:lineRule="auto"/>
              <w:jc w:val="left"/>
              <w:outlineLvl w:val="1"/>
              <w:rPr>
                <w:rFonts w:ascii="仿宋_GB2312" w:hAnsi="宋体" w:cs="宋体"/>
                <w:b/>
                <w:sz w:val="24"/>
              </w:rPr>
            </w:pPr>
            <w:r>
              <w:rPr>
                <w:rFonts w:hint="eastAsia" w:ascii="仿宋_GB2312" w:hAnsi="宋体" w:cs="宋体"/>
                <w:sz w:val="24"/>
              </w:rPr>
              <w:t>6.（□是□否）检查人员在检查期间中行为是否规范廉洁？</w:t>
            </w:r>
            <w:r>
              <w:rPr>
                <w:rFonts w:hint="eastAsia" w:ascii="仿宋_GB2312" w:hAnsi="宋体" w:cs="宋体"/>
                <w:b/>
                <w:sz w:val="24"/>
              </w:rPr>
              <w:t>上述选项中填写“否”的，请简要描述检查人员的违规行为：</w:t>
            </w:r>
          </w:p>
          <w:p>
            <w:pPr>
              <w:spacing w:line="276" w:lineRule="auto"/>
              <w:jc w:val="left"/>
              <w:outlineLvl w:val="1"/>
              <w:rPr>
                <w:rFonts w:ascii="仿宋" w:hAnsi="仿宋" w:eastAsia="仿宋"/>
                <w:sz w:val="24"/>
              </w:rPr>
            </w:pPr>
            <w:r>
              <w:rPr>
                <w:rFonts w:hint="eastAsia" w:ascii="仿宋_GB2312" w:hAnsi="宋体" w:cs="宋体"/>
                <w:b/>
                <w:sz w:val="24"/>
              </w:rPr>
              <w:t>（本处填写不下的，可另附书面说明）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2192" w:type="dxa"/>
            <w:noWrap w:val="0"/>
            <w:vAlign w:val="top"/>
          </w:tcPr>
          <w:p>
            <w:pPr>
              <w:jc w:val="center"/>
              <w:outlineLvl w:val="1"/>
              <w:rPr>
                <w:rFonts w:ascii="仿宋" w:hAnsi="仿宋" w:eastAsia="仿宋"/>
                <w:sz w:val="24"/>
              </w:rPr>
            </w:pPr>
            <w:r>
              <w:rPr>
                <w:rFonts w:ascii="仿宋" w:hAnsi="仿宋" w:eastAsia="仿宋"/>
                <w:sz w:val="24"/>
              </w:rPr>
              <w:t>对</w:t>
            </w:r>
            <w:r>
              <w:rPr>
                <w:rFonts w:hint="eastAsia" w:ascii="仿宋" w:hAnsi="仿宋" w:eastAsia="仿宋"/>
                <w:sz w:val="24"/>
              </w:rPr>
              <w:t>食品安全抽样检验承检机构监督检查</w:t>
            </w:r>
            <w:r>
              <w:rPr>
                <w:rFonts w:ascii="仿宋" w:hAnsi="仿宋" w:eastAsia="仿宋"/>
                <w:sz w:val="24"/>
              </w:rPr>
              <w:t>的意见和建议</w:t>
            </w:r>
          </w:p>
        </w:tc>
        <w:tc>
          <w:tcPr>
            <w:tcW w:w="7798" w:type="dxa"/>
            <w:gridSpan w:val="3"/>
            <w:noWrap w:val="0"/>
            <w:vAlign w:val="top"/>
          </w:tcPr>
          <w:p>
            <w:pPr>
              <w:spacing w:line="360" w:lineRule="auto"/>
              <w:jc w:val="left"/>
              <w:outlineLvl w:val="1"/>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192" w:type="dxa"/>
            <w:noWrap w:val="0"/>
            <w:vAlign w:val="top"/>
          </w:tcPr>
          <w:p>
            <w:pPr>
              <w:jc w:val="center"/>
              <w:outlineLvl w:val="1"/>
              <w:rPr>
                <w:rFonts w:ascii="仿宋" w:hAnsi="仿宋" w:eastAsia="仿宋"/>
                <w:sz w:val="24"/>
              </w:rPr>
            </w:pPr>
          </w:p>
          <w:p>
            <w:pPr>
              <w:jc w:val="center"/>
              <w:outlineLvl w:val="1"/>
              <w:rPr>
                <w:rFonts w:ascii="仿宋" w:hAnsi="仿宋" w:eastAsia="仿宋"/>
                <w:sz w:val="24"/>
              </w:rPr>
            </w:pPr>
            <w:r>
              <w:rPr>
                <w:rFonts w:hint="eastAsia" w:ascii="仿宋" w:hAnsi="仿宋" w:eastAsia="仿宋"/>
                <w:sz w:val="24"/>
              </w:rPr>
              <w:t>被检查承检机构</w:t>
            </w:r>
          </w:p>
          <w:p>
            <w:pPr>
              <w:jc w:val="center"/>
              <w:outlineLvl w:val="1"/>
              <w:rPr>
                <w:rFonts w:ascii="仿宋" w:hAnsi="仿宋" w:eastAsia="仿宋"/>
                <w:sz w:val="24"/>
              </w:rPr>
            </w:pPr>
            <w:r>
              <w:rPr>
                <w:rFonts w:hint="eastAsia" w:ascii="仿宋" w:hAnsi="仿宋" w:eastAsia="仿宋"/>
                <w:sz w:val="24"/>
              </w:rPr>
              <w:t>信息</w:t>
            </w:r>
          </w:p>
        </w:tc>
        <w:tc>
          <w:tcPr>
            <w:tcW w:w="7798" w:type="dxa"/>
            <w:gridSpan w:val="3"/>
            <w:noWrap w:val="0"/>
            <w:vAlign w:val="top"/>
          </w:tcPr>
          <w:p>
            <w:pPr>
              <w:jc w:val="left"/>
              <w:outlineLvl w:val="1"/>
              <w:rPr>
                <w:rFonts w:ascii="仿宋" w:hAnsi="仿宋" w:eastAsia="仿宋"/>
                <w:sz w:val="24"/>
              </w:rPr>
            </w:pPr>
            <w:r>
              <w:rPr>
                <w:rFonts w:hint="eastAsia" w:ascii="仿宋" w:hAnsi="仿宋" w:eastAsia="仿宋"/>
                <w:sz w:val="24"/>
              </w:rPr>
              <w:t>电话：区号-                 E-Mail:</w:t>
            </w:r>
          </w:p>
          <w:p>
            <w:pPr>
              <w:jc w:val="left"/>
              <w:outlineLvl w:val="1"/>
              <w:rPr>
                <w:rFonts w:ascii="仿宋" w:hAnsi="仿宋" w:eastAsia="仿宋"/>
                <w:sz w:val="24"/>
              </w:rPr>
            </w:pPr>
            <w:r>
              <w:rPr>
                <w:rFonts w:hint="eastAsia" w:ascii="仿宋" w:hAnsi="仿宋" w:eastAsia="仿宋"/>
                <w:sz w:val="24"/>
              </w:rPr>
              <w:t>传真：区号-                法定代表人或负责人签字：</w:t>
            </w:r>
          </w:p>
          <w:p>
            <w:pPr>
              <w:ind w:firstLine="3240" w:firstLineChars="1350"/>
              <w:jc w:val="left"/>
              <w:outlineLvl w:val="1"/>
              <w:rPr>
                <w:rFonts w:ascii="仿宋" w:hAnsi="仿宋" w:eastAsia="仿宋"/>
                <w:sz w:val="24"/>
              </w:rPr>
            </w:pPr>
            <w:r>
              <w:rPr>
                <w:rFonts w:hint="eastAsia" w:ascii="仿宋" w:hAnsi="仿宋" w:eastAsia="仿宋"/>
                <w:sz w:val="24"/>
              </w:rPr>
              <w:t>填表日期：      年     月    日</w:t>
            </w:r>
          </w:p>
          <w:p>
            <w:pPr>
              <w:ind w:firstLine="3840" w:firstLineChars="1600"/>
              <w:jc w:val="left"/>
              <w:outlineLvl w:val="1"/>
              <w:rPr>
                <w:rFonts w:ascii="仿宋" w:hAnsi="仿宋" w:eastAsia="仿宋"/>
                <w:sz w:val="24"/>
              </w:rPr>
            </w:pPr>
            <w:r>
              <w:rPr>
                <w:rFonts w:hint="eastAsia" w:ascii="仿宋" w:hAnsi="仿宋" w:eastAsia="仿宋"/>
                <w:sz w:val="24"/>
              </w:rPr>
              <w:t>(单位公章)</w:t>
            </w:r>
          </w:p>
        </w:tc>
      </w:tr>
    </w:tbl>
    <w:p>
      <w:pPr>
        <w:rPr>
          <w:rFonts w:ascii="仿宋" w:hAnsi="仿宋" w:eastAsia="仿宋"/>
          <w:sz w:val="24"/>
        </w:rPr>
      </w:pPr>
      <w:r>
        <w:rPr>
          <w:rFonts w:ascii="仿宋" w:hAnsi="仿宋" w:eastAsia="仿宋"/>
          <w:sz w:val="24"/>
        </w:rPr>
        <w:t>说明</w:t>
      </w:r>
      <w:r>
        <w:rPr>
          <w:rFonts w:hint="eastAsia" w:ascii="仿宋" w:hAnsi="仿宋" w:eastAsia="仿宋"/>
          <w:sz w:val="24"/>
        </w:rPr>
        <w:t>：如对检查工作有异议，请被检查承检机构在7个工作日内将本反馈单填好并加盖公章后，按以下联系方式寄送或传真，地址：合肥市包河工业区延安路13号，安徽省市场监督管理局 ，传真电话：0551-63356106。逾期或未反馈视为对此次检查工作无异议。</w:t>
      </w:r>
    </w:p>
    <w:p>
      <w:pPr>
        <w:rPr>
          <w:rFonts w:ascii="仿宋" w:hAnsi="仿宋" w:eastAsia="仿宋"/>
          <w:sz w:val="24"/>
        </w:rPr>
      </w:pPr>
    </w:p>
    <w:p>
      <w:pPr>
        <w:rPr>
          <w:rFonts w:ascii="仿宋" w:hAnsi="仿宋" w:eastAsia="仿宋"/>
          <w:sz w:val="24"/>
        </w:rPr>
      </w:pPr>
      <w:r>
        <w:rPr>
          <w:rFonts w:hint="eastAsia" w:ascii="仿宋" w:hAnsi="仿宋" w:eastAsia="仿宋"/>
          <w:sz w:val="24"/>
        </w:rPr>
        <w:t>承检机构签字（盖章）                    时间：     年    月    日</w:t>
      </w:r>
    </w:p>
    <w:p>
      <w:pPr>
        <w:rPr>
          <w:rFonts w:ascii="仿宋" w:hAnsi="仿宋" w:eastAsia="仿宋"/>
          <w:sz w:val="24"/>
        </w:rPr>
      </w:pPr>
    </w:p>
    <w:p>
      <w:pPr>
        <w:rPr>
          <w:rFonts w:ascii="仿宋" w:hAnsi="仿宋" w:eastAsia="仿宋"/>
          <w:sz w:val="24"/>
        </w:rPr>
      </w:pPr>
      <w:r>
        <w:rPr>
          <w:rFonts w:hint="eastAsia" w:ascii="仿宋" w:hAnsi="仿宋" w:eastAsia="仿宋"/>
          <w:sz w:val="24"/>
        </w:rPr>
        <w:t>注：本文书一式两联，由承检机构填写，一份承检机构留存，一份寄检查单位留存。</w:t>
      </w:r>
    </w:p>
    <w:p>
      <w:pPr>
        <w:ind w:firstLine="120" w:firstLineChars="50"/>
        <w:jc w:val="distribute"/>
        <w:rPr>
          <w:rFonts w:ascii="方正仿宋简体" w:hAnsi="宋体" w:eastAsia="方正仿宋简体"/>
          <w:sz w:val="24"/>
        </w:rPr>
      </w:pPr>
      <w:r>
        <w:rPr>
          <w:rFonts w:hint="eastAsia" w:ascii="方正仿宋简体" w:hAnsi="宋体" w:eastAsia="方正仿宋简体" w:cs="方正仿宋简体"/>
          <w:sz w:val="24"/>
        </w:rPr>
        <w:t>………………………………………………………………</w:t>
      </w:r>
      <w:r>
        <w:rPr>
          <w:rFonts w:hint="eastAsia" w:ascii="黑体" w:hAnsi="黑体" w:eastAsia="黑体" w:cs="黑体"/>
          <w:b/>
          <w:bCs/>
          <w:sz w:val="24"/>
        </w:rPr>
        <w:t>盖承检机构印章（骑缝）</w:t>
      </w:r>
    </w:p>
    <w:p>
      <w:pPr>
        <w:jc w:val="center"/>
        <w:rPr>
          <w:rFonts w:ascii="仿宋" w:hAnsi="仿宋" w:eastAsia="仿宋"/>
          <w:sz w:val="24"/>
        </w:rPr>
      </w:pPr>
      <w:r>
        <w:rPr>
          <w:rFonts w:hint="eastAsia" w:ascii="宋体" w:hAnsi="宋体"/>
          <w:b/>
          <w:bCs/>
          <w:szCs w:val="32"/>
        </w:rPr>
        <w:t xml:space="preserve">回执单      </w:t>
      </w:r>
    </w:p>
    <w:p>
      <w:pPr>
        <w:rPr>
          <w:rFonts w:ascii="仿宋" w:hAnsi="仿宋" w:eastAsia="仿宋"/>
          <w:sz w:val="24"/>
        </w:rPr>
      </w:pPr>
      <w:r>
        <w:rPr>
          <w:rFonts w:hint="eastAsia" w:ascii="仿宋" w:hAnsi="仿宋" w:eastAsia="仿宋"/>
          <w:sz w:val="24"/>
        </w:rPr>
        <w:t>本工作纪律反馈单已于     年    月    日收到。</w:t>
      </w:r>
    </w:p>
    <w:p>
      <w:pPr>
        <w:jc w:val="center"/>
        <w:outlineLvl w:val="1"/>
        <w:rPr>
          <w:rFonts w:hint="eastAsia" w:ascii="方正小标宋简体" w:hAnsi="方正小标宋简体" w:eastAsia="方正小标宋简体" w:cs="方正小标宋简体"/>
          <w:sz w:val="44"/>
          <w:szCs w:val="44"/>
        </w:rPr>
      </w:pPr>
      <w:r>
        <w:rPr>
          <w:rFonts w:hint="eastAsia" w:ascii="仿宋" w:hAnsi="仿宋" w:eastAsia="仿宋"/>
          <w:sz w:val="24"/>
        </w:rPr>
        <w:t xml:space="preserve">                         接收人签字： </w:t>
      </w:r>
    </w:p>
    <w:p>
      <w:pPr>
        <w:jc w:val="left"/>
        <w:outlineLvl w:val="1"/>
        <w:rPr>
          <w:rFonts w:hint="eastAsia" w:ascii="黑体" w:hAnsi="黑体" w:eastAsia="黑体" w:cs="黑体"/>
          <w:sz w:val="32"/>
          <w:szCs w:val="32"/>
        </w:rPr>
      </w:pPr>
      <w:r>
        <w:rPr>
          <w:rFonts w:hint="eastAsia" w:ascii="黑体" w:hAnsi="黑体" w:eastAsia="黑体" w:cs="黑体"/>
          <w:sz w:val="32"/>
          <w:szCs w:val="32"/>
        </w:rPr>
        <w:t>附件3</w:t>
      </w:r>
    </w:p>
    <w:p>
      <w:pPr>
        <w:jc w:val="center"/>
        <w:rPr>
          <w:rFonts w:hint="eastAsia"/>
          <w:b/>
          <w:bCs/>
          <w:sz w:val="36"/>
          <w:szCs w:val="36"/>
        </w:rPr>
      </w:pPr>
      <w:r>
        <w:rPr>
          <w:rFonts w:hint="eastAsia"/>
          <w:b/>
          <w:bCs/>
          <w:sz w:val="36"/>
          <w:szCs w:val="36"/>
        </w:rPr>
        <w:t>安徽省市场监督管理局食品安全抽检</w:t>
      </w:r>
    </w:p>
    <w:p>
      <w:pPr>
        <w:jc w:val="center"/>
        <w:rPr>
          <w:rFonts w:ascii="仿宋" w:hAnsi="仿宋" w:eastAsia="仿宋" w:cs="仿宋"/>
          <w:b/>
          <w:bCs/>
          <w:sz w:val="36"/>
          <w:szCs w:val="36"/>
        </w:rPr>
      </w:pPr>
      <w:r>
        <w:rPr>
          <w:rFonts w:hint="eastAsia"/>
          <w:b/>
          <w:bCs/>
          <w:sz w:val="36"/>
          <w:szCs w:val="36"/>
        </w:rPr>
        <w:t>承检机构现场检查告知书</w:t>
      </w:r>
    </w:p>
    <w:p>
      <w:pPr>
        <w:spacing w:line="360" w:lineRule="auto"/>
        <w:jc w:val="center"/>
        <w:rPr>
          <w:rFonts w:ascii="方正仿宋简体" w:eastAsia="方正仿宋简体"/>
          <w:b/>
          <w:bCs/>
          <w:sz w:val="24"/>
        </w:rPr>
      </w:pPr>
      <w:r>
        <w:rPr>
          <w:rFonts w:hint="eastAsia" w:ascii="方正仿宋简体" w:eastAsia="方正仿宋简体"/>
          <w:b/>
          <w:bCs/>
          <w:sz w:val="24"/>
        </w:rPr>
        <w:t>（该文书一式二联）</w:t>
      </w:r>
    </w:p>
    <w:p>
      <w:pPr>
        <w:rPr>
          <w:rFonts w:ascii="仿宋_GB2312"/>
          <w:sz w:val="28"/>
          <w:szCs w:val="28"/>
        </w:rPr>
      </w:pPr>
      <w:r>
        <w:rPr>
          <w:rFonts w:hint="eastAsia" w:ascii="仿宋_GB2312" w:cs="方正仿宋简体"/>
          <w:sz w:val="28"/>
          <w:szCs w:val="28"/>
          <w:u w:val="single"/>
        </w:rPr>
        <w:t xml:space="preserve">             </w:t>
      </w:r>
      <w:r>
        <w:rPr>
          <w:rFonts w:ascii="仿宋_GB2312" w:cs="方正仿宋简体"/>
          <w:sz w:val="28"/>
          <w:szCs w:val="28"/>
          <w:u w:val="single"/>
        </w:rPr>
        <w:t xml:space="preserve">     </w:t>
      </w:r>
      <w:r>
        <w:rPr>
          <w:rFonts w:hint="eastAsia" w:ascii="仿宋_GB2312" w:cs="方正仿宋简体"/>
          <w:sz w:val="28"/>
          <w:szCs w:val="28"/>
        </w:rPr>
        <w:t>：</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依据《中华人民共和国食品安全法》、《食品安全抽样检验管理办法》、《食品安全监督抽检和风险监测工作规范》等有关规定，安徽省市场监督管理局组织对承担安徽省食品安全抽检任务的承检机构进行现场检查，请予以积极配合。如有问题请与安徽省市场监督管理局，电话：0551-63356743。</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1、检查日期：         年     月    日</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2、监督检查人员名单：</w:t>
      </w:r>
    </w:p>
    <w:tbl>
      <w:tblPr>
        <w:tblStyle w:val="7"/>
        <w:tblpPr w:leftFromText="180" w:rightFromText="180" w:vertAnchor="text" w:horzAnchor="page" w:tblpX="2602" w:tblpY="283"/>
        <w:tblOverlap w:val="never"/>
        <w:tblW w:w="7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top"/>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检查组成员</w:t>
            </w:r>
          </w:p>
        </w:tc>
        <w:tc>
          <w:tcPr>
            <w:tcW w:w="4935" w:type="dxa"/>
            <w:noWrap w:val="0"/>
            <w:vAlign w:val="top"/>
          </w:tcPr>
          <w:p>
            <w:pPr>
              <w:spacing w:line="50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组长</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830" w:type="dxa"/>
            <w:vMerge w:val="restart"/>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组员</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30" w:type="dxa"/>
            <w:vMerge w:val="continue"/>
            <w:noWrap w:val="0"/>
            <w:vAlign w:val="center"/>
          </w:tcPr>
          <w:p>
            <w:pPr>
              <w:spacing w:line="500" w:lineRule="exact"/>
              <w:ind w:firstLine="560" w:firstLineChars="200"/>
              <w:jc w:val="center"/>
              <w:rPr>
                <w:rFonts w:ascii="仿宋" w:hAnsi="仿宋" w:eastAsia="仿宋" w:cs="仿宋"/>
                <w:sz w:val="28"/>
                <w:szCs w:val="28"/>
              </w:rPr>
            </w:pP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30" w:type="dxa"/>
            <w:vMerge w:val="continue"/>
            <w:noWrap w:val="0"/>
            <w:vAlign w:val="center"/>
          </w:tcPr>
          <w:p>
            <w:pPr>
              <w:spacing w:line="500" w:lineRule="exact"/>
              <w:ind w:firstLine="560" w:firstLineChars="200"/>
              <w:jc w:val="center"/>
              <w:rPr>
                <w:rFonts w:ascii="仿宋" w:hAnsi="仿宋" w:eastAsia="仿宋" w:cs="仿宋"/>
                <w:sz w:val="28"/>
                <w:szCs w:val="28"/>
              </w:rPr>
            </w:pP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30" w:type="dxa"/>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联络员</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bl>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hint="eastAsia"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r>
        <w:rPr>
          <w:rFonts w:hint="eastAsia" w:ascii="仿宋_GB2312" w:cs="方正仿宋简体"/>
          <w:sz w:val="28"/>
          <w:szCs w:val="28"/>
        </w:rPr>
        <w:t xml:space="preserve">被检查单位（现场负责人签字盖章）：      </w:t>
      </w:r>
    </w:p>
    <w:p>
      <w:pPr>
        <w:spacing w:line="360" w:lineRule="auto"/>
        <w:ind w:right="69" w:rightChars="33"/>
        <w:jc w:val="right"/>
        <w:rPr>
          <w:rFonts w:ascii="仿宋_GB2312"/>
          <w:sz w:val="28"/>
          <w:szCs w:val="28"/>
        </w:rPr>
      </w:pPr>
      <w:r>
        <w:rPr>
          <w:rFonts w:hint="eastAsia" w:ascii="仿宋_GB2312" w:cs="方正仿宋简体"/>
          <w:sz w:val="28"/>
          <w:szCs w:val="28"/>
        </w:rPr>
        <w:t>（组织现场检查的市场监管部门盖章）</w:t>
      </w:r>
    </w:p>
    <w:p>
      <w:pPr>
        <w:spacing w:line="360" w:lineRule="auto"/>
        <w:jc w:val="center"/>
        <w:rPr>
          <w:rFonts w:ascii="仿宋_GB2312" w:cs="方正仿宋简体"/>
          <w:sz w:val="28"/>
          <w:szCs w:val="28"/>
        </w:rPr>
      </w:pPr>
      <w:r>
        <w:rPr>
          <w:rFonts w:ascii="仿宋_GB2312" w:cs="方正仿宋简体"/>
          <w:sz w:val="28"/>
          <w:szCs w:val="28"/>
        </w:rPr>
        <w:t xml:space="preserve">                          </w:t>
      </w:r>
      <w:r>
        <w:rPr>
          <w:rFonts w:hint="eastAsia" w:ascii="仿宋_GB2312" w:cs="方正仿宋简体"/>
          <w:sz w:val="28"/>
          <w:szCs w:val="28"/>
        </w:rPr>
        <w:t>年</w:t>
      </w:r>
      <w:r>
        <w:rPr>
          <w:rFonts w:ascii="仿宋_GB2312" w:cs="方正仿宋简体"/>
          <w:sz w:val="28"/>
          <w:szCs w:val="28"/>
        </w:rPr>
        <w:t xml:space="preserve">    </w:t>
      </w:r>
      <w:r>
        <w:rPr>
          <w:rFonts w:hint="eastAsia" w:ascii="仿宋_GB2312" w:cs="方正仿宋简体"/>
          <w:sz w:val="28"/>
          <w:szCs w:val="28"/>
        </w:rPr>
        <w:t>月</w:t>
      </w:r>
      <w:r>
        <w:rPr>
          <w:rFonts w:ascii="仿宋_GB2312" w:cs="方正仿宋简体"/>
          <w:sz w:val="28"/>
          <w:szCs w:val="28"/>
        </w:rPr>
        <w:t xml:space="preserve">   </w:t>
      </w:r>
      <w:r>
        <w:rPr>
          <w:rFonts w:hint="eastAsia" w:ascii="仿宋_GB2312" w:cs="方正仿宋简体"/>
          <w:sz w:val="28"/>
          <w:szCs w:val="28"/>
        </w:rPr>
        <w:t>日</w:t>
      </w:r>
    </w:p>
    <w:p>
      <w:pPr>
        <w:pStyle w:val="4"/>
        <w:spacing w:line="400" w:lineRule="exact"/>
        <w:ind w:firstLine="480" w:firstLineChars="200"/>
        <w:rPr>
          <w:sz w:val="24"/>
          <w:szCs w:val="24"/>
        </w:rPr>
      </w:pPr>
      <w:r>
        <w:rPr>
          <w:rFonts w:hint="eastAsia" w:cs="方正仿宋简体"/>
          <w:sz w:val="24"/>
          <w:szCs w:val="24"/>
        </w:rPr>
        <w:t>（第一联</w:t>
      </w:r>
      <w:r>
        <w:rPr>
          <w:rFonts w:cs="方正仿宋简体"/>
          <w:sz w:val="24"/>
          <w:szCs w:val="24"/>
        </w:rPr>
        <w:t xml:space="preserve"> </w:t>
      </w:r>
      <w:r>
        <w:rPr>
          <w:rFonts w:hint="eastAsia" w:cs="方正仿宋简体"/>
          <w:sz w:val="24"/>
          <w:szCs w:val="24"/>
        </w:rPr>
        <w:t>被检查承检机构留存）</w:t>
      </w:r>
    </w:p>
    <w:p>
      <w:pPr>
        <w:jc w:val="center"/>
        <w:outlineLvl w:val="1"/>
        <w:rPr>
          <w:rFonts w:ascii="仿宋" w:hAnsi="仿宋" w:eastAsia="仿宋" w:cs="仿宋"/>
          <w:b/>
          <w:bCs/>
          <w:sz w:val="36"/>
          <w:szCs w:val="36"/>
        </w:rPr>
      </w:pPr>
    </w:p>
    <w:p>
      <w:pPr>
        <w:jc w:val="center"/>
        <w:rPr>
          <w:rFonts w:hint="eastAsia"/>
          <w:b/>
          <w:bCs/>
          <w:sz w:val="36"/>
          <w:szCs w:val="36"/>
        </w:rPr>
      </w:pPr>
      <w:r>
        <w:rPr>
          <w:rFonts w:hint="eastAsia"/>
          <w:b/>
          <w:bCs/>
          <w:sz w:val="36"/>
          <w:szCs w:val="36"/>
        </w:rPr>
        <w:t>安徽省市场监督管理局食品安全抽检</w:t>
      </w:r>
    </w:p>
    <w:p>
      <w:pPr>
        <w:jc w:val="center"/>
        <w:outlineLvl w:val="1"/>
        <w:rPr>
          <w:rFonts w:ascii="仿宋" w:hAnsi="仿宋" w:eastAsia="仿宋" w:cs="仿宋"/>
          <w:b/>
          <w:bCs/>
          <w:sz w:val="36"/>
          <w:szCs w:val="36"/>
        </w:rPr>
      </w:pPr>
      <w:r>
        <w:rPr>
          <w:rFonts w:hint="eastAsia"/>
          <w:b/>
          <w:bCs/>
          <w:sz w:val="36"/>
          <w:szCs w:val="36"/>
        </w:rPr>
        <w:t>承检机构现场检查告知书</w:t>
      </w:r>
    </w:p>
    <w:p>
      <w:pPr>
        <w:spacing w:line="360" w:lineRule="auto"/>
        <w:jc w:val="center"/>
        <w:rPr>
          <w:rFonts w:ascii="方正仿宋简体" w:eastAsia="方正仿宋简体"/>
          <w:b/>
          <w:bCs/>
          <w:sz w:val="24"/>
        </w:rPr>
      </w:pPr>
      <w:r>
        <w:rPr>
          <w:rFonts w:hint="eastAsia" w:ascii="方正仿宋简体" w:eastAsia="方正仿宋简体"/>
          <w:b/>
          <w:bCs/>
          <w:sz w:val="24"/>
        </w:rPr>
        <w:t>（该文书一式二联）</w:t>
      </w:r>
    </w:p>
    <w:p>
      <w:pPr>
        <w:ind w:firstLine="560" w:firstLineChars="200"/>
        <w:rPr>
          <w:rFonts w:ascii="仿宋_GB2312"/>
          <w:sz w:val="28"/>
          <w:szCs w:val="28"/>
        </w:rPr>
      </w:pPr>
      <w:r>
        <w:rPr>
          <w:rFonts w:hint="eastAsia" w:ascii="仿宋_GB2312" w:cs="方正仿宋简体"/>
          <w:sz w:val="28"/>
          <w:szCs w:val="28"/>
          <w:u w:val="single"/>
        </w:rPr>
        <w:t xml:space="preserve">       </w:t>
      </w:r>
      <w:r>
        <w:rPr>
          <w:rFonts w:ascii="仿宋_GB2312" w:cs="方正仿宋简体"/>
          <w:sz w:val="28"/>
          <w:szCs w:val="28"/>
          <w:u w:val="single"/>
        </w:rPr>
        <w:t xml:space="preserve">     </w:t>
      </w:r>
      <w:r>
        <w:rPr>
          <w:rFonts w:hint="eastAsia" w:ascii="仿宋_GB2312" w:cs="方正仿宋简体"/>
          <w:sz w:val="28"/>
          <w:szCs w:val="28"/>
        </w:rPr>
        <w:t>：</w:t>
      </w:r>
    </w:p>
    <w:p>
      <w:pPr>
        <w:spacing w:line="500" w:lineRule="exact"/>
        <w:rPr>
          <w:rFonts w:ascii="仿宋_GB2312" w:hAnsi="仿宋_GB2312" w:cs="仿宋_GB2312"/>
          <w:sz w:val="28"/>
          <w:szCs w:val="28"/>
        </w:rPr>
      </w:pPr>
      <w:r>
        <w:rPr>
          <w:rFonts w:hint="eastAsia" w:ascii="仿宋_GB2312" w:hAnsi="仿宋_GB2312" w:cs="仿宋_GB2312"/>
          <w:sz w:val="28"/>
          <w:szCs w:val="28"/>
        </w:rPr>
        <w:t xml:space="preserve">    依据《中华人民共和国食品安全法》、《食品安全抽样检验管理办法》、《食品安全监督抽检和风险监测工作规范》等有关规定，安徽省市场监督管理局组织对承担安徽省食品安全抽检任务的承检机构进行现场检查，请予以积极配合。如有问题请与安徽省市场监督管理局联系，电话：0551-63356743。</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1、检查日期：         年     月    日</w:t>
      </w:r>
    </w:p>
    <w:p>
      <w:pPr>
        <w:spacing w:line="500" w:lineRule="exact"/>
        <w:ind w:firstLine="560" w:firstLineChars="200"/>
        <w:rPr>
          <w:rFonts w:ascii="仿宋_GB2312" w:hAnsi="仿宋_GB2312" w:cs="仿宋_GB2312"/>
          <w:sz w:val="28"/>
          <w:szCs w:val="28"/>
        </w:rPr>
      </w:pPr>
      <w:r>
        <w:rPr>
          <w:rFonts w:hint="eastAsia" w:ascii="仿宋_GB2312" w:hAnsi="仿宋_GB2312" w:cs="仿宋_GB2312"/>
          <w:sz w:val="28"/>
          <w:szCs w:val="28"/>
        </w:rPr>
        <w:t>2、监督检查人员名单：</w:t>
      </w:r>
    </w:p>
    <w:tbl>
      <w:tblPr>
        <w:tblStyle w:val="7"/>
        <w:tblpPr w:leftFromText="180" w:rightFromText="180" w:vertAnchor="text" w:horzAnchor="page" w:tblpX="2602" w:tblpY="283"/>
        <w:tblOverlap w:val="never"/>
        <w:tblW w:w="77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top"/>
          </w:tcPr>
          <w:p>
            <w:pPr>
              <w:spacing w:line="500" w:lineRule="exact"/>
              <w:jc w:val="center"/>
              <w:rPr>
                <w:rFonts w:ascii="仿宋" w:hAnsi="仿宋" w:eastAsia="仿宋" w:cs="仿宋"/>
                <w:b/>
                <w:bCs/>
                <w:sz w:val="28"/>
                <w:szCs w:val="28"/>
              </w:rPr>
            </w:pPr>
            <w:r>
              <w:rPr>
                <w:rFonts w:hint="eastAsia" w:ascii="仿宋" w:hAnsi="仿宋" w:eastAsia="仿宋" w:cs="仿宋"/>
                <w:b/>
                <w:bCs/>
                <w:sz w:val="28"/>
                <w:szCs w:val="28"/>
              </w:rPr>
              <w:t>检查组成员</w:t>
            </w:r>
          </w:p>
        </w:tc>
        <w:tc>
          <w:tcPr>
            <w:tcW w:w="4935" w:type="dxa"/>
            <w:noWrap w:val="0"/>
            <w:vAlign w:val="top"/>
          </w:tcPr>
          <w:p>
            <w:pPr>
              <w:spacing w:line="500" w:lineRule="exact"/>
              <w:ind w:firstLine="562" w:firstLineChars="200"/>
              <w:jc w:val="center"/>
              <w:rPr>
                <w:rFonts w:ascii="仿宋" w:hAnsi="仿宋" w:eastAsia="仿宋" w:cs="仿宋"/>
                <w:b/>
                <w:bCs/>
                <w:sz w:val="28"/>
                <w:szCs w:val="28"/>
              </w:rPr>
            </w:pPr>
            <w:r>
              <w:rPr>
                <w:rFonts w:hint="eastAsia" w:ascii="仿宋" w:hAnsi="仿宋" w:eastAsia="仿宋" w:cs="仿宋"/>
                <w:b/>
                <w:bCs/>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组长</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830" w:type="dxa"/>
            <w:vMerge w:val="restart"/>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组员</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30" w:type="dxa"/>
            <w:vMerge w:val="continue"/>
            <w:noWrap w:val="0"/>
            <w:vAlign w:val="center"/>
          </w:tcPr>
          <w:p>
            <w:pPr>
              <w:spacing w:line="500" w:lineRule="exact"/>
              <w:ind w:firstLine="560" w:firstLineChars="200"/>
              <w:jc w:val="center"/>
              <w:rPr>
                <w:rFonts w:ascii="仿宋" w:hAnsi="仿宋" w:eastAsia="仿宋" w:cs="仿宋"/>
                <w:sz w:val="28"/>
                <w:szCs w:val="28"/>
              </w:rPr>
            </w:pP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830" w:type="dxa"/>
            <w:vMerge w:val="continue"/>
            <w:noWrap w:val="0"/>
            <w:vAlign w:val="center"/>
          </w:tcPr>
          <w:p>
            <w:pPr>
              <w:spacing w:line="500" w:lineRule="exact"/>
              <w:ind w:firstLine="560" w:firstLineChars="200"/>
              <w:jc w:val="center"/>
              <w:rPr>
                <w:rFonts w:ascii="仿宋" w:hAnsi="仿宋" w:eastAsia="仿宋" w:cs="仿宋"/>
                <w:sz w:val="28"/>
                <w:szCs w:val="28"/>
              </w:rPr>
            </w:pP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830" w:type="dxa"/>
            <w:noWrap w:val="0"/>
            <w:vAlign w:val="center"/>
          </w:tcPr>
          <w:p>
            <w:pPr>
              <w:spacing w:line="500" w:lineRule="exact"/>
              <w:jc w:val="center"/>
              <w:rPr>
                <w:rFonts w:ascii="仿宋" w:hAnsi="仿宋" w:eastAsia="仿宋" w:cs="仿宋"/>
                <w:sz w:val="28"/>
                <w:szCs w:val="28"/>
              </w:rPr>
            </w:pPr>
            <w:r>
              <w:rPr>
                <w:rFonts w:hint="eastAsia" w:ascii="仿宋" w:hAnsi="仿宋" w:eastAsia="仿宋" w:cs="仿宋"/>
                <w:sz w:val="28"/>
                <w:szCs w:val="28"/>
              </w:rPr>
              <w:t>联络员</w:t>
            </w:r>
          </w:p>
        </w:tc>
        <w:tc>
          <w:tcPr>
            <w:tcW w:w="4935" w:type="dxa"/>
            <w:noWrap w:val="0"/>
            <w:vAlign w:val="center"/>
          </w:tcPr>
          <w:p>
            <w:pPr>
              <w:spacing w:line="500" w:lineRule="exact"/>
              <w:ind w:firstLine="600" w:firstLineChars="200"/>
              <w:jc w:val="center"/>
              <w:rPr>
                <w:rFonts w:ascii="仿宋" w:hAnsi="仿宋" w:eastAsia="仿宋" w:cs="仿宋"/>
                <w:sz w:val="30"/>
                <w:szCs w:val="30"/>
              </w:rPr>
            </w:pPr>
          </w:p>
        </w:tc>
      </w:tr>
    </w:tbl>
    <w:p>
      <w:pPr>
        <w:spacing w:line="500" w:lineRule="exact"/>
        <w:ind w:firstLine="560" w:firstLineChars="200"/>
        <w:rPr>
          <w:rFonts w:ascii="仿宋_GB2312" w:hAnsi="仿宋_GB2312" w:cs="仿宋_GB2312"/>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p>
    <w:p>
      <w:pPr>
        <w:spacing w:line="360" w:lineRule="auto"/>
        <w:ind w:right="968" w:rightChars="461" w:firstLine="560" w:firstLineChars="200"/>
        <w:jc w:val="left"/>
        <w:rPr>
          <w:rFonts w:ascii="仿宋_GB2312" w:cs="方正仿宋简体"/>
          <w:sz w:val="28"/>
          <w:szCs w:val="28"/>
        </w:rPr>
      </w:pPr>
      <w:r>
        <w:rPr>
          <w:rFonts w:hint="eastAsia" w:ascii="仿宋_GB2312" w:cs="方正仿宋简体"/>
          <w:sz w:val="28"/>
          <w:szCs w:val="28"/>
        </w:rPr>
        <w:t xml:space="preserve">被检查单位（现场负责人签字盖章）：      </w:t>
      </w:r>
    </w:p>
    <w:p>
      <w:pPr>
        <w:spacing w:line="360" w:lineRule="auto"/>
        <w:ind w:right="69" w:rightChars="33"/>
        <w:jc w:val="right"/>
        <w:rPr>
          <w:rFonts w:ascii="仿宋_GB2312"/>
          <w:sz w:val="28"/>
          <w:szCs w:val="28"/>
        </w:rPr>
      </w:pPr>
      <w:r>
        <w:rPr>
          <w:rFonts w:hint="eastAsia" w:ascii="仿宋_GB2312" w:cs="方正仿宋简体"/>
          <w:sz w:val="28"/>
          <w:szCs w:val="28"/>
        </w:rPr>
        <w:t>（组织现场检查的市场监管部门盖章）</w:t>
      </w:r>
    </w:p>
    <w:p>
      <w:pPr>
        <w:spacing w:line="360" w:lineRule="auto"/>
        <w:jc w:val="center"/>
        <w:rPr>
          <w:rFonts w:ascii="仿宋_GB2312" w:cs="方正仿宋简体"/>
          <w:sz w:val="28"/>
          <w:szCs w:val="28"/>
        </w:rPr>
      </w:pPr>
      <w:r>
        <w:rPr>
          <w:rFonts w:ascii="仿宋_GB2312" w:cs="方正仿宋简体"/>
          <w:sz w:val="28"/>
          <w:szCs w:val="28"/>
        </w:rPr>
        <w:t xml:space="preserve">                          </w:t>
      </w:r>
      <w:r>
        <w:rPr>
          <w:rFonts w:hint="eastAsia" w:ascii="仿宋_GB2312" w:cs="方正仿宋简体"/>
          <w:sz w:val="28"/>
          <w:szCs w:val="28"/>
        </w:rPr>
        <w:t>年</w:t>
      </w:r>
      <w:r>
        <w:rPr>
          <w:rFonts w:ascii="仿宋_GB2312" w:cs="方正仿宋简体"/>
          <w:sz w:val="28"/>
          <w:szCs w:val="28"/>
        </w:rPr>
        <w:t xml:space="preserve">    </w:t>
      </w:r>
      <w:r>
        <w:rPr>
          <w:rFonts w:hint="eastAsia" w:ascii="仿宋_GB2312" w:cs="方正仿宋简体"/>
          <w:sz w:val="28"/>
          <w:szCs w:val="28"/>
        </w:rPr>
        <w:t>月</w:t>
      </w:r>
      <w:r>
        <w:rPr>
          <w:rFonts w:ascii="仿宋_GB2312" w:cs="方正仿宋简体"/>
          <w:sz w:val="28"/>
          <w:szCs w:val="28"/>
        </w:rPr>
        <w:t xml:space="preserve">   </w:t>
      </w:r>
      <w:r>
        <w:rPr>
          <w:rFonts w:hint="eastAsia" w:ascii="仿宋_GB2312" w:cs="方正仿宋简体"/>
          <w:sz w:val="28"/>
          <w:szCs w:val="28"/>
        </w:rPr>
        <w:t>日</w:t>
      </w:r>
    </w:p>
    <w:p>
      <w:pPr>
        <w:pStyle w:val="4"/>
        <w:spacing w:line="400" w:lineRule="exact"/>
        <w:ind w:firstLine="480" w:firstLineChars="200"/>
      </w:pPr>
      <w:r>
        <w:rPr>
          <w:rFonts w:hint="eastAsia" w:cs="方正仿宋简体"/>
          <w:sz w:val="24"/>
          <w:szCs w:val="24"/>
        </w:rPr>
        <w:t>（第二联</w:t>
      </w:r>
      <w:r>
        <w:rPr>
          <w:rFonts w:cs="方正仿宋简体"/>
          <w:sz w:val="24"/>
          <w:szCs w:val="24"/>
        </w:rPr>
        <w:t xml:space="preserve"> </w:t>
      </w:r>
      <w:r>
        <w:rPr>
          <w:rFonts w:hint="eastAsia" w:cs="方正仿宋简体"/>
          <w:sz w:val="24"/>
          <w:szCs w:val="24"/>
        </w:rPr>
        <w:t>组织检查单位留存）</w:t>
      </w:r>
    </w:p>
    <w:p>
      <w:pPr>
        <w:autoSpaceDE w:val="0"/>
        <w:autoSpaceDN w:val="0"/>
        <w:adjustRightInd w:val="0"/>
        <w:jc w:val="left"/>
        <w:rPr>
          <w:rFonts w:hint="eastAsia" w:ascii="黑体" w:hAnsi="黑体" w:eastAsia="黑体" w:cs="黑体"/>
          <w:kern w:val="0"/>
          <w:sz w:val="32"/>
          <w:szCs w:val="32"/>
        </w:rPr>
      </w:pPr>
      <w:r>
        <w:rPr>
          <w:rFonts w:hint="eastAsia" w:ascii="黑体" w:hAnsi="黑体" w:eastAsia="黑体" w:cs="黑体"/>
          <w:kern w:val="0"/>
          <w:sz w:val="32"/>
          <w:szCs w:val="32"/>
        </w:rPr>
        <w:t>附件4</w:t>
      </w:r>
    </w:p>
    <w:p>
      <w:pPr>
        <w:jc w:val="center"/>
        <w:rPr>
          <w:rFonts w:hint="eastAsia"/>
          <w:b/>
          <w:bCs/>
          <w:sz w:val="36"/>
          <w:szCs w:val="36"/>
        </w:rPr>
      </w:pPr>
      <w:r>
        <w:rPr>
          <w:rFonts w:hint="eastAsia"/>
          <w:b/>
          <w:bCs/>
          <w:sz w:val="36"/>
          <w:szCs w:val="36"/>
        </w:rPr>
        <w:t>安徽省市场监督管理局食品安全抽检承检机构现场检查会议签到表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224"/>
        <w:gridCol w:w="1486"/>
        <w:gridCol w:w="1500"/>
        <w:gridCol w:w="1275"/>
        <w:gridCol w:w="49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2130" w:type="dxa"/>
            <w:gridSpan w:val="2"/>
            <w:noWrap w:val="0"/>
            <w:vAlign w:val="center"/>
          </w:tcPr>
          <w:p>
            <w:pPr>
              <w:jc w:val="center"/>
              <w:rPr>
                <w:rFonts w:hint="eastAsia"/>
                <w:sz w:val="24"/>
              </w:rPr>
            </w:pPr>
            <w:r>
              <w:rPr>
                <w:rFonts w:hint="eastAsia"/>
                <w:sz w:val="24"/>
              </w:rPr>
              <w:t>承检机构名称</w:t>
            </w:r>
          </w:p>
        </w:tc>
        <w:tc>
          <w:tcPr>
            <w:tcW w:w="6736" w:type="dxa"/>
            <w:gridSpan w:val="5"/>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130" w:type="dxa"/>
            <w:gridSpan w:val="2"/>
            <w:noWrap w:val="0"/>
            <w:vAlign w:val="center"/>
          </w:tcPr>
          <w:p>
            <w:pPr>
              <w:jc w:val="center"/>
              <w:rPr>
                <w:rFonts w:hint="eastAsia"/>
                <w:sz w:val="24"/>
              </w:rPr>
            </w:pPr>
            <w:r>
              <w:rPr>
                <w:rFonts w:hint="eastAsia"/>
                <w:sz w:val="24"/>
              </w:rPr>
              <w:t>会议时间</w:t>
            </w:r>
          </w:p>
        </w:tc>
        <w:tc>
          <w:tcPr>
            <w:tcW w:w="2986" w:type="dxa"/>
            <w:gridSpan w:val="2"/>
            <w:noWrap w:val="0"/>
            <w:vAlign w:val="center"/>
          </w:tcPr>
          <w:p>
            <w:pPr>
              <w:jc w:val="center"/>
              <w:rPr>
                <w:rFonts w:hint="eastAsia"/>
                <w:sz w:val="24"/>
              </w:rPr>
            </w:pPr>
            <w:r>
              <w:rPr>
                <w:rFonts w:hint="eastAsia"/>
                <w:sz w:val="24"/>
              </w:rPr>
              <w:t xml:space="preserve"> </w:t>
            </w:r>
          </w:p>
        </w:tc>
        <w:tc>
          <w:tcPr>
            <w:tcW w:w="1275" w:type="dxa"/>
            <w:noWrap w:val="0"/>
            <w:vAlign w:val="center"/>
          </w:tcPr>
          <w:p>
            <w:pPr>
              <w:jc w:val="center"/>
              <w:rPr>
                <w:rFonts w:hint="eastAsia"/>
                <w:sz w:val="24"/>
              </w:rPr>
            </w:pPr>
            <w:r>
              <w:rPr>
                <w:rFonts w:hint="eastAsia"/>
                <w:sz w:val="24"/>
              </w:rPr>
              <w:t>会议地点</w:t>
            </w:r>
          </w:p>
        </w:tc>
        <w:tc>
          <w:tcPr>
            <w:tcW w:w="2475" w:type="dxa"/>
            <w:gridSpan w:val="2"/>
            <w:noWrap w:val="0"/>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116" w:type="dxa"/>
            <w:gridSpan w:val="4"/>
            <w:noWrap w:val="0"/>
            <w:vAlign w:val="center"/>
          </w:tcPr>
          <w:p>
            <w:pPr>
              <w:jc w:val="center"/>
              <w:rPr>
                <w:rFonts w:hint="eastAsia"/>
                <w:sz w:val="24"/>
              </w:rPr>
            </w:pPr>
            <w:r>
              <w:rPr>
                <w:rFonts w:hint="eastAsia"/>
                <w:sz w:val="24"/>
              </w:rPr>
              <w:t>检查组人员签名</w:t>
            </w:r>
          </w:p>
        </w:tc>
        <w:tc>
          <w:tcPr>
            <w:tcW w:w="3750" w:type="dxa"/>
            <w:gridSpan w:val="3"/>
            <w:noWrap w:val="0"/>
            <w:vAlign w:val="center"/>
          </w:tcPr>
          <w:p>
            <w:pPr>
              <w:jc w:val="center"/>
              <w:rPr>
                <w:rFonts w:hint="eastAsia"/>
                <w:sz w:val="24"/>
              </w:rPr>
            </w:pPr>
            <w:r>
              <w:rPr>
                <w:rFonts w:hint="eastAsia"/>
                <w:sz w:val="24"/>
              </w:rPr>
              <w:t>承检机构参会人员签名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06" w:type="dxa"/>
            <w:noWrap w:val="0"/>
            <w:vAlign w:val="top"/>
          </w:tcPr>
          <w:p>
            <w:pPr>
              <w:spacing w:line="500" w:lineRule="exact"/>
              <w:jc w:val="center"/>
              <w:rPr>
                <w:rFonts w:hint="eastAsia"/>
                <w:sz w:val="24"/>
              </w:rPr>
            </w:pPr>
            <w:r>
              <w:rPr>
                <w:rFonts w:hint="eastAsia" w:ascii="仿宋" w:hAnsi="仿宋" w:eastAsia="仿宋" w:cs="仿宋"/>
                <w:b/>
                <w:bCs/>
                <w:sz w:val="28"/>
                <w:szCs w:val="28"/>
              </w:rPr>
              <w:t>检查组成员</w:t>
            </w:r>
          </w:p>
        </w:tc>
        <w:tc>
          <w:tcPr>
            <w:tcW w:w="1710" w:type="dxa"/>
            <w:gridSpan w:val="2"/>
            <w:noWrap w:val="0"/>
            <w:vAlign w:val="top"/>
          </w:tcPr>
          <w:p>
            <w:pPr>
              <w:spacing w:line="500" w:lineRule="exact"/>
              <w:ind w:firstLine="562" w:firstLineChars="200"/>
              <w:jc w:val="left"/>
              <w:rPr>
                <w:rFonts w:hint="eastAsia"/>
                <w:sz w:val="24"/>
              </w:rPr>
            </w:pPr>
            <w:r>
              <w:rPr>
                <w:rFonts w:hint="eastAsia" w:ascii="仿宋" w:hAnsi="仿宋" w:eastAsia="仿宋" w:cs="仿宋"/>
                <w:b/>
                <w:bCs/>
                <w:sz w:val="28"/>
                <w:szCs w:val="28"/>
              </w:rPr>
              <w:t>姓名</w:t>
            </w:r>
          </w:p>
        </w:tc>
        <w:tc>
          <w:tcPr>
            <w:tcW w:w="1500" w:type="dxa"/>
            <w:noWrap w:val="0"/>
            <w:vAlign w:val="top"/>
          </w:tcPr>
          <w:p>
            <w:pPr>
              <w:spacing w:line="500" w:lineRule="exact"/>
              <w:jc w:val="left"/>
              <w:rPr>
                <w:rFonts w:hint="eastAsia" w:ascii="仿宋" w:hAnsi="仿宋" w:eastAsia="仿宋" w:cs="仿宋"/>
                <w:b/>
                <w:bCs/>
                <w:sz w:val="28"/>
                <w:szCs w:val="28"/>
              </w:rPr>
            </w:pPr>
            <w:r>
              <w:rPr>
                <w:rFonts w:hint="eastAsia" w:ascii="仿宋" w:hAnsi="仿宋" w:eastAsia="仿宋" w:cs="仿宋"/>
                <w:b/>
                <w:bCs/>
                <w:sz w:val="28"/>
                <w:szCs w:val="28"/>
              </w:rPr>
              <w:t xml:space="preserve">  签名</w:t>
            </w:r>
          </w:p>
        </w:tc>
        <w:tc>
          <w:tcPr>
            <w:tcW w:w="1770" w:type="dxa"/>
            <w:gridSpan w:val="2"/>
            <w:noWrap w:val="0"/>
            <w:vAlign w:val="center"/>
          </w:tcPr>
          <w:p>
            <w:pPr>
              <w:jc w:val="center"/>
              <w:rPr>
                <w:rFonts w:hint="eastAsia"/>
                <w:sz w:val="24"/>
              </w:rPr>
            </w:pPr>
            <w:r>
              <w:rPr>
                <w:rFonts w:hint="eastAsia"/>
                <w:sz w:val="24"/>
              </w:rPr>
              <w:t>姓名</w:t>
            </w:r>
          </w:p>
        </w:tc>
        <w:tc>
          <w:tcPr>
            <w:tcW w:w="1980" w:type="dxa"/>
            <w:noWrap w:val="0"/>
            <w:vAlign w:val="center"/>
          </w:tcPr>
          <w:p>
            <w:pPr>
              <w:jc w:val="center"/>
              <w:rPr>
                <w:rFonts w:hint="eastAsia"/>
                <w:sz w:val="24"/>
              </w:rPr>
            </w:pPr>
            <w:r>
              <w:rPr>
                <w:rFonts w:hint="eastAsia"/>
                <w:sz w:val="24"/>
              </w:rPr>
              <w:t>部门及职务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组  长</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组员</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组员</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组员</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组员</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r>
              <w:rPr>
                <w:rFonts w:hint="eastAsia"/>
                <w:sz w:val="24"/>
              </w:rPr>
              <w:t>联络员</w:t>
            </w: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ascii="仿宋" w:hAnsi="仿宋" w:eastAsia="仿宋" w:cs="仿宋"/>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p>
        </w:tc>
        <w:tc>
          <w:tcPr>
            <w:tcW w:w="1710" w:type="dxa"/>
            <w:gridSpan w:val="2"/>
            <w:noWrap w:val="0"/>
            <w:vAlign w:val="center"/>
          </w:tcPr>
          <w:p>
            <w:pPr>
              <w:jc w:val="center"/>
              <w:rPr>
                <w:rFonts w:hint="eastAsia" w:ascii="宋体" w:hAnsi="宋体" w:cs="宋体"/>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center"/>
          </w:tcPr>
          <w:p>
            <w:pPr>
              <w:jc w:val="center"/>
              <w:rPr>
                <w:rFonts w:hint="eastAsia"/>
                <w:sz w:val="24"/>
              </w:rPr>
            </w:pPr>
          </w:p>
        </w:tc>
        <w:tc>
          <w:tcPr>
            <w:tcW w:w="1710" w:type="dxa"/>
            <w:gridSpan w:val="2"/>
            <w:noWrap w:val="0"/>
            <w:vAlign w:val="center"/>
          </w:tcPr>
          <w:p>
            <w:pPr>
              <w:jc w:val="center"/>
              <w:rPr>
                <w:rFonts w:hint="eastAsia"/>
                <w:sz w:val="24"/>
              </w:rPr>
            </w:pPr>
          </w:p>
        </w:tc>
        <w:tc>
          <w:tcPr>
            <w:tcW w:w="1500" w:type="dxa"/>
            <w:noWrap w:val="0"/>
            <w:vAlign w:val="center"/>
          </w:tcPr>
          <w:p>
            <w:pPr>
              <w:spacing w:line="500" w:lineRule="exact"/>
              <w:ind w:firstLine="560" w:firstLineChars="200"/>
              <w:jc w:val="center"/>
              <w:rPr>
                <w:rFonts w:hint="eastAsia"/>
                <w:sz w:val="28"/>
                <w:szCs w:val="28"/>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06" w:type="dxa"/>
            <w:noWrap w:val="0"/>
            <w:vAlign w:val="top"/>
          </w:tcPr>
          <w:p>
            <w:pPr>
              <w:jc w:val="center"/>
              <w:rPr>
                <w:rFonts w:hint="eastAsia"/>
                <w:sz w:val="24"/>
              </w:rPr>
            </w:pPr>
          </w:p>
        </w:tc>
        <w:tc>
          <w:tcPr>
            <w:tcW w:w="1710" w:type="dxa"/>
            <w:gridSpan w:val="2"/>
            <w:noWrap w:val="0"/>
            <w:vAlign w:val="top"/>
          </w:tcPr>
          <w:p>
            <w:pPr>
              <w:jc w:val="center"/>
              <w:rPr>
                <w:rFonts w:hint="eastAsia"/>
                <w:sz w:val="24"/>
              </w:rPr>
            </w:pPr>
          </w:p>
        </w:tc>
        <w:tc>
          <w:tcPr>
            <w:tcW w:w="1500" w:type="dxa"/>
            <w:noWrap w:val="0"/>
            <w:vAlign w:val="top"/>
          </w:tcPr>
          <w:p>
            <w:pPr>
              <w:jc w:val="center"/>
              <w:rPr>
                <w:rFonts w:hint="eastAsia"/>
                <w:sz w:val="24"/>
              </w:rPr>
            </w:pPr>
          </w:p>
        </w:tc>
        <w:tc>
          <w:tcPr>
            <w:tcW w:w="1770" w:type="dxa"/>
            <w:gridSpan w:val="2"/>
            <w:noWrap w:val="0"/>
            <w:vAlign w:val="top"/>
          </w:tcPr>
          <w:p>
            <w:pPr>
              <w:jc w:val="center"/>
              <w:rPr>
                <w:rFonts w:hint="eastAsia"/>
                <w:sz w:val="24"/>
              </w:rPr>
            </w:pPr>
          </w:p>
        </w:tc>
        <w:tc>
          <w:tcPr>
            <w:tcW w:w="1980" w:type="dxa"/>
            <w:noWrap w:val="0"/>
            <w:vAlign w:val="top"/>
          </w:tcPr>
          <w:p>
            <w:pPr>
              <w:jc w:val="center"/>
              <w:rPr>
                <w:rFonts w:hint="eastAsia"/>
                <w:sz w:val="24"/>
              </w:rPr>
            </w:pPr>
          </w:p>
        </w:tc>
      </w:tr>
    </w:tbl>
    <w:p>
      <w:pPr>
        <w:rPr>
          <w:rFonts w:hint="eastAsia"/>
        </w:rPr>
      </w:pPr>
    </w:p>
    <w:p>
      <w:pPr>
        <w:pStyle w:val="3"/>
        <w:rPr>
          <w:rFonts w:hint="eastAsia"/>
        </w:rPr>
      </w:pPr>
    </w:p>
    <w:p>
      <w:pPr>
        <w:jc w:val="left"/>
        <w:rPr>
          <w:rFonts w:hint="eastAsia" w:ascii="仿宋_GB2312" w:eastAsia="仿宋_GB2312" w:cs="仿宋_GB2312"/>
          <w:kern w:val="0"/>
          <w:sz w:val="32"/>
          <w:szCs w:val="32"/>
        </w:rPr>
      </w:pPr>
    </w:p>
    <w:p>
      <w:pPr>
        <w:pStyle w:val="3"/>
        <w:ind w:firstLine="640"/>
        <w:rPr>
          <w:rFonts w:hint="eastAsia" w:ascii="仿宋_GB2312" w:eastAsia="仿宋_GB2312" w:cs="仿宋_GB2312"/>
          <w:kern w:val="0"/>
          <w:sz w:val="32"/>
          <w:szCs w:val="32"/>
        </w:rPr>
        <w:sectPr>
          <w:pgSz w:w="11906" w:h="16838"/>
          <w:pgMar w:top="2098" w:right="1474" w:bottom="1984" w:left="1588" w:header="851" w:footer="992" w:gutter="0"/>
          <w:pgNumType w:fmt="numberInDash"/>
          <w:cols w:space="720" w:num="1"/>
          <w:docGrid w:type="lines" w:linePitch="312" w:charSpace="0"/>
        </w:sectPr>
      </w:pPr>
    </w:p>
    <w:p>
      <w:pPr>
        <w:pStyle w:val="3"/>
        <w:ind w:firstLine="640"/>
        <w:jc w:val="left"/>
        <w:rPr>
          <w:rFonts w:hint="eastAsia" w:ascii="黑体" w:hAnsi="黑体" w:eastAsia="黑体" w:cs="黑体"/>
          <w:sz w:val="32"/>
          <w:szCs w:val="32"/>
        </w:rPr>
      </w:pPr>
      <w:r>
        <w:rPr>
          <w:rFonts w:hint="eastAsia" w:ascii="黑体" w:hAnsi="黑体" w:eastAsia="黑体" w:cs="黑体"/>
          <w:sz w:val="32"/>
          <w:szCs w:val="32"/>
        </w:rPr>
        <w:t>附件5</w:t>
      </w:r>
    </w:p>
    <w:p>
      <w:pPr>
        <w:pStyle w:val="3"/>
        <w:ind w:firstLine="640"/>
        <w:jc w:val="left"/>
        <w:rPr>
          <w:rFonts w:hint="eastAsia" w:ascii="黑体" w:hAnsi="黑体" w:eastAsia="黑体" w:cs="黑体"/>
          <w:sz w:val="32"/>
          <w:szCs w:val="32"/>
        </w:rPr>
      </w:pPr>
    </w:p>
    <w:p>
      <w:pPr>
        <w:pStyle w:val="3"/>
        <w:ind w:firstLine="1040"/>
        <w:jc w:val="center"/>
        <w:rPr>
          <w:rFonts w:hint="eastAsia" w:ascii="方正小标宋简体" w:hAnsi="方正小标宋简体" w:eastAsia="方正小标宋简体" w:cs="方正小标宋简体"/>
          <w:kern w:val="0"/>
          <w:sz w:val="52"/>
          <w:szCs w:val="52"/>
        </w:rPr>
      </w:pPr>
      <w:r>
        <w:rPr>
          <w:rFonts w:hint="eastAsia" w:ascii="方正小标宋简体" w:hAnsi="方正小标宋简体" w:eastAsia="方正小标宋简体" w:cs="方正小标宋简体"/>
          <w:kern w:val="0"/>
          <w:sz w:val="52"/>
          <w:szCs w:val="52"/>
        </w:rPr>
        <w:t>安徽省食品安全承检机构现场检查表</w:t>
      </w:r>
    </w:p>
    <w:p>
      <w:pPr>
        <w:pStyle w:val="3"/>
        <w:ind w:firstLine="720"/>
        <w:rPr>
          <w:rFonts w:hint="eastAsia" w:ascii="仿宋_GB2312" w:eastAsia="仿宋_GB2312" w:cs="仿宋_GB2312"/>
          <w:kern w:val="0"/>
          <w:sz w:val="36"/>
          <w:szCs w:val="36"/>
        </w:rPr>
      </w:pPr>
    </w:p>
    <w:p>
      <w:pPr>
        <w:pStyle w:val="3"/>
        <w:ind w:firstLine="720"/>
        <w:rPr>
          <w:rFonts w:hint="eastAsia" w:ascii="仿宋_GB2312" w:eastAsia="仿宋_GB2312" w:cs="仿宋_GB2312"/>
          <w:kern w:val="0"/>
          <w:sz w:val="36"/>
          <w:szCs w:val="36"/>
        </w:rPr>
      </w:pPr>
    </w:p>
    <w:p>
      <w:pPr>
        <w:pStyle w:val="3"/>
        <w:spacing w:line="640" w:lineRule="exact"/>
        <w:ind w:firstLine="0" w:firstLineChars="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被检查机构名称（盖章）： </w:t>
      </w:r>
    </w:p>
    <w:p>
      <w:pPr>
        <w:pStyle w:val="3"/>
        <w:spacing w:line="640" w:lineRule="exact"/>
        <w:ind w:firstLine="72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检  查  组 成 员： </w:t>
      </w:r>
    </w:p>
    <w:p>
      <w:pPr>
        <w:pStyle w:val="3"/>
        <w:spacing w:line="640" w:lineRule="exact"/>
        <w:ind w:firstLine="720"/>
        <w:rPr>
          <w:rFonts w:hint="eastAsia" w:ascii="仿宋_GB2312" w:eastAsia="仿宋_GB2312" w:cs="仿宋_GB2312"/>
          <w:kern w:val="0"/>
          <w:sz w:val="36"/>
          <w:szCs w:val="36"/>
        </w:rPr>
      </w:pPr>
      <w:r>
        <w:rPr>
          <w:rFonts w:hint="eastAsia" w:ascii="仿宋_GB2312" w:eastAsia="仿宋_GB2312" w:cs="仿宋_GB2312"/>
          <w:kern w:val="0"/>
          <w:sz w:val="36"/>
          <w:szCs w:val="36"/>
        </w:rPr>
        <w:t xml:space="preserve">                检   查   日  期：         年      月     日</w:t>
      </w:r>
    </w:p>
    <w:p>
      <w:pPr>
        <w:pStyle w:val="3"/>
        <w:ind w:firstLine="720"/>
        <w:rPr>
          <w:rFonts w:hint="eastAsia" w:ascii="仿宋_GB2312" w:eastAsia="仿宋_GB2312" w:cs="仿宋_GB2312"/>
          <w:kern w:val="0"/>
          <w:sz w:val="36"/>
          <w:szCs w:val="36"/>
        </w:rPr>
      </w:pPr>
    </w:p>
    <w:p>
      <w:pPr>
        <w:pStyle w:val="3"/>
        <w:ind w:firstLine="720"/>
        <w:rPr>
          <w:rFonts w:hint="eastAsia" w:ascii="仿宋_GB2312" w:eastAsia="仿宋_GB2312" w:cs="仿宋_GB2312"/>
          <w:kern w:val="0"/>
          <w:sz w:val="36"/>
          <w:szCs w:val="36"/>
        </w:rPr>
      </w:pPr>
    </w:p>
    <w:p>
      <w:pPr>
        <w:pStyle w:val="3"/>
        <w:ind w:firstLine="720"/>
        <w:rPr>
          <w:rFonts w:hint="eastAsia" w:ascii="仿宋_GB2312" w:eastAsia="仿宋_GB2312" w:cs="仿宋_GB2312"/>
          <w:kern w:val="0"/>
          <w:sz w:val="36"/>
          <w:szCs w:val="36"/>
        </w:rPr>
      </w:pPr>
    </w:p>
    <w:p>
      <w:pPr>
        <w:pStyle w:val="3"/>
        <w:ind w:firstLine="720"/>
        <w:jc w:val="center"/>
        <w:rPr>
          <w:rFonts w:hint="eastAsia" w:ascii="楷体_GB2312" w:hAnsi="楷体_GB2312" w:eastAsia="楷体_GB2312" w:cs="楷体_GB2312"/>
          <w:kern w:val="0"/>
          <w:sz w:val="36"/>
          <w:szCs w:val="36"/>
        </w:rPr>
      </w:pPr>
      <w:r>
        <w:rPr>
          <w:rFonts w:hint="eastAsia" w:ascii="楷体_GB2312" w:hAnsi="楷体_GB2312" w:eastAsia="楷体_GB2312" w:cs="楷体_GB2312"/>
          <w:kern w:val="0"/>
          <w:sz w:val="36"/>
          <w:szCs w:val="36"/>
        </w:rPr>
        <w:t>安徽省市场监督管理局   编制</w:t>
      </w:r>
    </w:p>
    <w:tbl>
      <w:tblPr>
        <w:tblStyle w:val="7"/>
        <w:tblW w:w="0" w:type="auto"/>
        <w:tblInd w:w="0" w:type="dxa"/>
        <w:tblLayout w:type="fixed"/>
        <w:tblCellMar>
          <w:top w:w="0" w:type="dxa"/>
          <w:left w:w="0" w:type="dxa"/>
          <w:bottom w:w="0" w:type="dxa"/>
          <w:right w:w="0" w:type="dxa"/>
        </w:tblCellMar>
      </w:tblPr>
      <w:tblGrid>
        <w:gridCol w:w="3942"/>
        <w:gridCol w:w="4545"/>
        <w:gridCol w:w="1935"/>
        <w:gridCol w:w="4365"/>
      </w:tblGrid>
      <w:tr>
        <w:tblPrEx>
          <w:tblCellMar>
            <w:top w:w="0" w:type="dxa"/>
            <w:left w:w="0" w:type="dxa"/>
            <w:bottom w:w="0" w:type="dxa"/>
            <w:right w:w="0" w:type="dxa"/>
          </w:tblCellMar>
        </w:tblPrEx>
        <w:trPr>
          <w:trHeight w:val="90" w:hRule="atLeast"/>
        </w:trPr>
        <w:tc>
          <w:tcPr>
            <w:tcW w:w="3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实验室名称</w:t>
            </w:r>
          </w:p>
        </w:tc>
        <w:tc>
          <w:tcPr>
            <w:tcW w:w="1084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地址、邮编</w:t>
            </w:r>
          </w:p>
        </w:tc>
        <w:tc>
          <w:tcPr>
            <w:tcW w:w="1084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负责人及其联系方式</w:t>
            </w:r>
          </w:p>
        </w:tc>
        <w:tc>
          <w:tcPr>
            <w:tcW w:w="10845" w:type="dxa"/>
            <w:gridSpan w:val="3"/>
            <w:tcBorders>
              <w:top w:val="single" w:color="000000" w:sz="4" w:space="0"/>
              <w:left w:val="nil"/>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负责人：          电话：          手机：         邮箱：</w:t>
            </w: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联系人及其联系方式</w:t>
            </w:r>
          </w:p>
        </w:tc>
        <w:tc>
          <w:tcPr>
            <w:tcW w:w="10845" w:type="dxa"/>
            <w:gridSpan w:val="3"/>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联系人：          电话：          手机：         邮箱：</w:t>
            </w:r>
          </w:p>
        </w:tc>
      </w:tr>
      <w:tr>
        <w:tblPrEx>
          <w:tblCellMar>
            <w:top w:w="0" w:type="dxa"/>
            <w:left w:w="0" w:type="dxa"/>
            <w:bottom w:w="0" w:type="dxa"/>
            <w:right w:w="0" w:type="dxa"/>
          </w:tblCellMar>
        </w:tblPrEx>
        <w:trPr>
          <w:trHeight w:val="624" w:hRule="atLeast"/>
        </w:trPr>
        <w:tc>
          <w:tcPr>
            <w:tcW w:w="3942" w:type="dxa"/>
            <w:vMerge w:val="restart"/>
            <w:tcBorders>
              <w:top w:val="single" w:color="000000" w:sz="4" w:space="0"/>
              <w:left w:val="single" w:color="000000" w:sz="4" w:space="0"/>
              <w:bottom w:val="nil"/>
              <w:right w:val="nil"/>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法人类型</w:t>
            </w:r>
          </w:p>
        </w:tc>
        <w:tc>
          <w:tcPr>
            <w:tcW w:w="1084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独立法人实验室：社团法人□    事业法人□   企业法人□   其他□</w:t>
            </w:r>
          </w:p>
          <w:p>
            <w:pPr>
              <w:widowControl/>
              <w:jc w:val="left"/>
              <w:textAlignment w:val="center"/>
              <w:rPr>
                <w:rFonts w:hint="eastAsia" w:ascii="宋体" w:hAnsi="宋体" w:cs="宋体"/>
                <w:color w:val="000000"/>
                <w:kern w:val="0"/>
                <w:sz w:val="28"/>
                <w:szCs w:val="28"/>
                <w:lang w:bidi="ar"/>
              </w:rPr>
            </w:pPr>
            <w:r>
              <w:rPr>
                <w:rFonts w:hint="eastAsia" w:ascii="宋体" w:hAnsi="宋体" w:cs="宋体"/>
                <w:color w:val="000000"/>
                <w:kern w:val="0"/>
                <w:sz w:val="28"/>
                <w:szCs w:val="28"/>
                <w:lang w:bidi="ar"/>
              </w:rPr>
              <w:t>实验室所属法人（非独立法人实验室填此项）</w:t>
            </w:r>
          </w:p>
          <w:p>
            <w:pPr>
              <w:widowControl/>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社团法人□   事业法人□     企业法人□   其他□</w:t>
            </w: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nil"/>
              <w:right w:val="nil"/>
            </w:tcBorders>
            <w:noWrap w:val="0"/>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8"/>
                <w:szCs w:val="28"/>
              </w:rPr>
            </w:pP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资质认定证书编号</w:t>
            </w:r>
          </w:p>
        </w:tc>
        <w:tc>
          <w:tcPr>
            <w:tcW w:w="45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19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证书有效期</w:t>
            </w:r>
          </w:p>
        </w:tc>
        <w:tc>
          <w:tcPr>
            <w:tcW w:w="43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  月  日-    年  月  日</w:t>
            </w:r>
          </w:p>
        </w:tc>
      </w:tr>
      <w:tr>
        <w:tblPrEx>
          <w:tblCellMar>
            <w:top w:w="0" w:type="dxa"/>
            <w:left w:w="0" w:type="dxa"/>
            <w:bottom w:w="0" w:type="dxa"/>
            <w:right w:w="0" w:type="dxa"/>
          </w:tblCellMar>
        </w:tblPrEx>
        <w:trPr>
          <w:trHeight w:val="476" w:hRule="atLeast"/>
        </w:trPr>
        <w:tc>
          <w:tcPr>
            <w:tcW w:w="394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实验室认可证书编号（适用时）</w:t>
            </w:r>
          </w:p>
        </w:tc>
        <w:tc>
          <w:tcPr>
            <w:tcW w:w="454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8"/>
                <w:szCs w:val="28"/>
              </w:rPr>
            </w:pPr>
          </w:p>
        </w:tc>
        <w:tc>
          <w:tcPr>
            <w:tcW w:w="193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证书有效期</w:t>
            </w:r>
          </w:p>
        </w:tc>
        <w:tc>
          <w:tcPr>
            <w:tcW w:w="436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ind w:firstLine="560" w:firstLineChars="200"/>
              <w:jc w:val="left"/>
              <w:textAlignment w:val="center"/>
              <w:rPr>
                <w:rFonts w:hint="eastAsia" w:ascii="宋体" w:hAnsi="宋体" w:cs="宋体"/>
                <w:color w:val="000000"/>
                <w:sz w:val="28"/>
                <w:szCs w:val="28"/>
              </w:rPr>
            </w:pPr>
            <w:r>
              <w:rPr>
                <w:rFonts w:hint="eastAsia" w:ascii="宋体" w:hAnsi="宋体" w:cs="宋体"/>
                <w:color w:val="000000"/>
                <w:kern w:val="0"/>
                <w:sz w:val="28"/>
                <w:szCs w:val="28"/>
                <w:lang w:bidi="ar"/>
              </w:rPr>
              <w:t>年  月  日-    年  月  日</w:t>
            </w:r>
          </w:p>
        </w:tc>
      </w:tr>
      <w:tr>
        <w:tblPrEx>
          <w:tblCellMar>
            <w:top w:w="0" w:type="dxa"/>
            <w:left w:w="0" w:type="dxa"/>
            <w:bottom w:w="0" w:type="dxa"/>
            <w:right w:w="0" w:type="dxa"/>
          </w:tblCellMar>
        </w:tblPrEx>
        <w:trPr>
          <w:trHeight w:val="624" w:hRule="atLeast"/>
        </w:trPr>
        <w:tc>
          <w:tcPr>
            <w:tcW w:w="394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检查依据</w:t>
            </w:r>
          </w:p>
        </w:tc>
        <w:tc>
          <w:tcPr>
            <w:tcW w:w="10845"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jc w:val="left"/>
              <w:textAlignment w:val="center"/>
              <w:rPr>
                <w:rFonts w:hint="eastAsia" w:ascii="宋体" w:hAnsi="宋体" w:cs="宋体"/>
                <w:color w:val="000000"/>
                <w:sz w:val="24"/>
              </w:rPr>
            </w:pPr>
            <w:r>
              <w:rPr>
                <w:rFonts w:hint="eastAsia" w:ascii="宋体" w:hAnsi="宋体" w:cs="宋体"/>
                <w:color w:val="000000"/>
                <w:kern w:val="0"/>
                <w:sz w:val="24"/>
                <w:lang w:bidi="ar"/>
              </w:rPr>
              <w:t>《食品安全抽样检验管理办法》、《检验检测资质认定能力评价通用要求》、《食品检验机构资质认定条件》、《检验检测资质认定食品复检机构要求》、《安徽省食品安全承检机构管理办法》、《食品安全监督抽检和风险监测承检机构管理办法》、抽样检验实施细则等。</w:t>
            </w:r>
          </w:p>
        </w:tc>
      </w:tr>
      <w:tr>
        <w:tblPrEx>
          <w:tblCellMar>
            <w:top w:w="0" w:type="dxa"/>
            <w:left w:w="0" w:type="dxa"/>
            <w:bottom w:w="0" w:type="dxa"/>
            <w:right w:w="0" w:type="dxa"/>
          </w:tblCellMar>
        </w:tblPrEx>
        <w:trPr>
          <w:trHeight w:val="624" w:hRule="atLeast"/>
        </w:trPr>
        <w:tc>
          <w:tcPr>
            <w:tcW w:w="394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000000"/>
                <w:sz w:val="28"/>
                <w:szCs w:val="28"/>
              </w:rPr>
            </w:pPr>
          </w:p>
        </w:tc>
        <w:tc>
          <w:tcPr>
            <w:tcW w:w="10845"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4"/>
              </w:rPr>
            </w:pPr>
          </w:p>
        </w:tc>
      </w:tr>
    </w:tbl>
    <w:p>
      <w:pPr>
        <w:pStyle w:val="3"/>
        <w:spacing w:line="48" w:lineRule="auto"/>
        <w:ind w:firstLine="0" w:firstLineChars="0"/>
        <w:rPr>
          <w:rFonts w:hint="eastAsia" w:ascii="仿宋_GB2312" w:eastAsia="仿宋_GB2312" w:cs="仿宋_GB2312"/>
          <w:kern w:val="0"/>
          <w:sz w:val="15"/>
          <w:szCs w:val="15"/>
        </w:rPr>
      </w:pPr>
    </w:p>
    <w:p>
      <w:pPr>
        <w:pStyle w:val="3"/>
        <w:spacing w:line="48" w:lineRule="auto"/>
        <w:ind w:firstLine="0" w:firstLineChars="0"/>
        <w:rPr>
          <w:rFonts w:hint="eastAsia" w:ascii="仿宋_GB2312" w:eastAsia="仿宋_GB2312" w:cs="仿宋_GB2312"/>
          <w:kern w:val="0"/>
          <w:sz w:val="15"/>
          <w:szCs w:val="15"/>
        </w:rPr>
      </w:pPr>
    </w:p>
    <w:tbl>
      <w:tblPr>
        <w:tblStyle w:val="7"/>
        <w:tblW w:w="0" w:type="auto"/>
        <w:tblInd w:w="0" w:type="dxa"/>
        <w:tblLayout w:type="autofit"/>
        <w:tblCellMar>
          <w:top w:w="0" w:type="dxa"/>
          <w:left w:w="0" w:type="dxa"/>
          <w:bottom w:w="0" w:type="dxa"/>
          <w:right w:w="0" w:type="dxa"/>
        </w:tblCellMar>
      </w:tblPr>
      <w:tblGrid>
        <w:gridCol w:w="1027"/>
        <w:gridCol w:w="4640"/>
        <w:gridCol w:w="6990"/>
        <w:gridCol w:w="582"/>
        <w:gridCol w:w="374"/>
        <w:gridCol w:w="375"/>
      </w:tblGrid>
      <w:tr>
        <w:tblPrEx>
          <w:tblCellMar>
            <w:top w:w="0" w:type="dxa"/>
            <w:left w:w="0" w:type="dxa"/>
            <w:bottom w:w="0" w:type="dxa"/>
            <w:right w:w="0" w:type="dxa"/>
          </w:tblCellMar>
        </w:tblPrEx>
        <w:trPr>
          <w:trHeight w:val="454" w:hRule="atLeast"/>
        </w:trPr>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检查项目</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检查内容</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现场检查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4"/>
              </w:rPr>
            </w:pPr>
            <w:r>
              <w:rPr>
                <w:rFonts w:hint="eastAsia" w:ascii="黑体" w:hAnsi="黑体" w:eastAsia="黑体" w:cs="黑体"/>
                <w:color w:val="000000"/>
                <w:kern w:val="0"/>
                <w:sz w:val="24"/>
                <w:lang w:bidi="ar"/>
              </w:rPr>
              <w:t>检查记录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color w:val="000000"/>
                <w:sz w:val="24"/>
              </w:rPr>
            </w:pPr>
            <w:r>
              <w:rPr>
                <w:rFonts w:hint="eastAsia" w:ascii="黑体" w:hAnsi="黑体" w:eastAsia="黑体" w:cs="黑体"/>
                <w:sz w:val="24"/>
              </w:rPr>
              <w:t>分值</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黑体" w:eastAsia="黑体" w:cs="黑体"/>
                <w:sz w:val="24"/>
              </w:rPr>
            </w:pPr>
            <w:r>
              <w:rPr>
                <w:rFonts w:hint="eastAsia" w:ascii="黑体" w:hAnsi="黑体" w:eastAsia="黑体" w:cs="黑体"/>
                <w:sz w:val="24"/>
              </w:rPr>
              <w:t>得分</w:t>
            </w:r>
          </w:p>
        </w:tc>
      </w:tr>
      <w:tr>
        <w:tblPrEx>
          <w:tblCellMar>
            <w:top w:w="0" w:type="dxa"/>
            <w:left w:w="0" w:type="dxa"/>
            <w:bottom w:w="0" w:type="dxa"/>
            <w:right w:w="0" w:type="dxa"/>
          </w:tblCellMar>
        </w:tblPrEx>
        <w:trPr>
          <w:trHeight w:val="90" w:hRule="atLeast"/>
        </w:trPr>
        <w:tc>
          <w:tcPr>
            <w:tcW w:w="0" w:type="auto"/>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kern w:val="0"/>
                <w:sz w:val="22"/>
                <w:lang w:bidi="ar"/>
              </w:rPr>
            </w:pPr>
            <w:r>
              <w:rPr>
                <w:rFonts w:hint="eastAsia" w:ascii="宋体" w:hAnsi="宋体" w:cs="宋体"/>
                <w:color w:val="000000"/>
                <w:kern w:val="0"/>
                <w:sz w:val="22"/>
                <w:lang w:bidi="ar"/>
              </w:rPr>
              <w:t>1、实验室基本要求</w:t>
            </w:r>
          </w:p>
          <w:p>
            <w:pPr>
              <w:jc w:val="center"/>
              <w:rPr>
                <w:rFonts w:hint="eastAsia" w:ascii="宋体" w:hAnsi="宋体" w:cs="宋体"/>
                <w:color w:val="000000"/>
                <w:kern w:val="0"/>
                <w:sz w:val="22"/>
                <w:lang w:bidi="ar"/>
              </w:rPr>
            </w:pPr>
          </w:p>
          <w:p>
            <w:pPr>
              <w:jc w:val="center"/>
              <w:rPr>
                <w:rFonts w:hint="eastAsia" w:ascii="宋体" w:hAnsi="宋体" w:cs="宋体"/>
                <w:color w:val="000000"/>
                <w:sz w:val="22"/>
              </w:rPr>
            </w:pPr>
          </w:p>
        </w:tc>
        <w:tc>
          <w:tcPr>
            <w:tcW w:w="0" w:type="auto"/>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1.1资质认定证书在有效期限内，具备与承检任务中食品品种和监督抽检项目相一致的检验能力</w:t>
            </w:r>
          </w:p>
        </w:tc>
        <w:tc>
          <w:tcPr>
            <w:tcW w:w="0" w:type="auto"/>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1检查机构资质认定证书，对照资质认定证书附表检查承检任务项目</w:t>
            </w:r>
          </w:p>
        </w:tc>
        <w:tc>
          <w:tcPr>
            <w:tcW w:w="0" w:type="auto"/>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4</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1.2实验室人员满足检验要求，检验人员经培训并授权</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2.调取相关档案，检查技术管理人员是否具有从事食品检验相关工作3年以上经历，熟悉承检食品品种的标准及相关法律法规要求</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3.调取相关档案，检验人员中具有中级以上（含中级）专业技术职称或同等能力人员的比例是否不少于30%，熟悉承检食品品种的检验方法及相关法律法规要求</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4.调取相关档案，检查承担承检任务的抽检负责人或骨干是否参加相关培训；其他人员是否经过相关培训</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1.3正确配备符合标准规范的检测设备、标准物质，且按法定计量要求实施量值溯源；有使用管理和记录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5.检查检验设备、标准物质档案、量值溯源证书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6.抽查5台以上主要仪器设备使用记录，记录应完整、规范</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1.4试剂、耗材的验收领用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7.检查试验用水验收领用记录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8.检查关键耗材验收领用记录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1.5检验标准现行有效，检验方法进行技术确认</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9.针对承检任务，检查检验标准有效性确认记录和开展检验的方法验证记录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1.6设施及环境条件满足相关法律法规、技术规范或标准的要求，有相应的环境监测、控制条件和记录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10.检查实验室环境设施和监控记录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1.7各类文件归档保存完整有效</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olor w:val="000000"/>
              </w:rPr>
            </w:pPr>
            <w:r>
              <w:rPr>
                <w:rFonts w:hint="eastAsia" w:ascii="宋体" w:hAnsi="宋体" w:cs="宋体"/>
                <w:color w:val="000000"/>
                <w:kern w:val="0"/>
                <w:sz w:val="22"/>
                <w:lang w:bidi="ar"/>
              </w:rPr>
              <w:t>11.随机抽取相关档案检查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rPr>
            </w:pPr>
            <w:r>
              <w:rPr>
                <w:rFonts w:hint="eastAsia" w:ascii="宋体" w:hAnsi="宋体" w:cs="宋体"/>
                <w:color w:val="000000"/>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1.8建立与实施与检验活动相适应的质量管理体系</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12.检查开展内部质量审核和管理评审的记录，应完整、规范</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1.9能力验证活动核查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13.核查承检项目能力验证或实验室间比对结果等材料</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p>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2、抽检工作要求</w:t>
            </w: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p>
          <w:p>
            <w:pPr>
              <w:jc w:val="center"/>
              <w:rPr>
                <w:rFonts w:hint="eastAsia" w:ascii="宋体" w:hAnsi="宋体" w:cs="宋体"/>
                <w:color w:val="000000"/>
                <w:kern w:val="0"/>
                <w:sz w:val="22"/>
                <w:lang w:bidi="ar"/>
              </w:rPr>
            </w:pPr>
            <w:r>
              <w:rPr>
                <w:rFonts w:hint="eastAsia" w:ascii="宋体" w:hAnsi="宋体" w:cs="宋体"/>
                <w:color w:val="000000"/>
                <w:kern w:val="0"/>
                <w:sz w:val="22"/>
                <w:lang w:bidi="ar"/>
              </w:rPr>
              <w:t>2、抽检工作要求</w:t>
            </w:r>
          </w:p>
          <w:p>
            <w:pPr>
              <w:widowControl/>
              <w:jc w:val="center"/>
              <w:textAlignment w:val="center"/>
              <w:rPr>
                <w:rFonts w:hint="eastAsia" w:ascii="宋体" w:hAnsi="宋体" w:cs="宋体"/>
                <w:color w:val="000000"/>
                <w:sz w:val="22"/>
              </w:rPr>
            </w:pPr>
          </w:p>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2.1对承检任务进行有效的合同评审</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14.检查承检任务的合同评审记录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2.2制定相关工作制度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15.抽检工作的组织结构、岗位职责</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16.样品采集、交接、检验、留存、信息报告、数据自查等工作管理制度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17.有防止伪造检测数据或结果行为的相关程序和措施</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2.3按照计划和合同的安排以及要求组织实施抽样检验任务</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18.检查制定的抽检实施方案</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2.4食品样品复检制度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19.针对复检，检查复检使用检验方法的有效性</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20.承担样品复检的，检查复检机构核对确认初检机构提供的复检样品与填报申请书一致性记录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21.食品复检的工作程序或作业指导书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2.5制定与承担任务相一致的检验质量控制计划并实施</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22.检查针对承检任务实施的质量控制计划，覆盖抽样、检验、数据上报等关键环节</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23.检查计划执行的记录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1140"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2.6承担抽样工作的，抽样符合规范要求</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24.检查是否具有与抽样工作相匹配的专职抽样人员、抽样工具、设备等</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25.抽查不少于10份原始抽样记录、样品流转信息等材料，检查抽取的样品是否符合计划或合同规定品种，检查记录的完整性、可溯源性</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26.检查所抽样品的保存条件、封签的完整与规范性</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3</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2.7样品制备与管理</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27.检查是否制定了样品制备作业指导书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28.检查样品制备过程是否规范管理</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29.检查制备后的样品存放是否满足相应的样品存放条件</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30.检查样品的唯一性标识与状态标识</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r>
              <w:rPr>
                <w:rFonts w:hint="eastAsia" w:ascii="宋体" w:hAnsi="宋体" w:cs="宋体"/>
                <w:color w:val="000000"/>
                <w:kern w:val="0"/>
                <w:sz w:val="22"/>
                <w:lang w:bidi="ar"/>
              </w:rPr>
              <w:t>2.7样品制备与管理</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31.检查是否有防止混淆和污染的措施</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32.制定了备份样品管理制度</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33.检查备份样品保管和处置记录</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olor w:val="000000"/>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2.8原始记录规范性、符合性、真实性、安全性检查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34.抽查不少于10份原始记录,检查是否按照指定的检验方法和判定依据实施检验</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rPr>
            </w:pPr>
            <w:r>
              <w:rPr>
                <w:rFonts w:hint="eastAsia" w:ascii="宋体" w:hAnsi="宋体" w:cs="宋体"/>
                <w:color w:val="000000"/>
                <w:kern w:val="0"/>
                <w:szCs w:val="21"/>
                <w:lang w:bidi="ar"/>
              </w:rPr>
              <w:t>5</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35.检查记录是否规范、真实、完整、可溯源</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10</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36.检查是否按要求做平行试验*</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2.7不合格检验结果、异常值或临近标准限量值的处理</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37.检查对不合格检验结果是否采取复验；对于异常值或临近标准限量值的检验结果，是否采取必要的技术手段</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1126"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2.8检验报告规范性、符合性、准确性、合法性检查</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38.抽查10份检验报告,检查报告是否按照规定格式出具，内容完整、准确</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39.检查检验报告授权签字人是否与批准证书一致*</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40.检查是否有更改检验报告的作业指导书并执行</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2.9按照规定要求报送检验结果等相关信息</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41.发现样品存在严重安全问题或较高风险的,确认后是否在24小时内报告指定部门</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2</w:t>
            </w:r>
          </w:p>
        </w:tc>
        <w:tc>
          <w:tcPr>
            <w:tcW w:w="0" w:type="auto"/>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3、工作</w:t>
            </w:r>
          </w:p>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纪律</w:t>
            </w:r>
          </w:p>
        </w:tc>
        <w:tc>
          <w:tcPr>
            <w:tcW w:w="0" w:type="auto"/>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3.1保密制度落实情况</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42.抽样工作是否提前告知被抽样单位*</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43.是否泄露、擅自使用或对外发布有关抽检信息*</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3.2分包检验情况</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44.检查是否有分包检验行为。确因特殊情况需要分包的，是否经省市场监督管理局批准同意*</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45</w:t>
            </w:r>
            <w:r>
              <w:rPr>
                <w:rFonts w:hint="eastAsia" w:ascii="宋体" w:hAnsi="宋体" w:cs="宋体"/>
                <w:kern w:val="0"/>
                <w:sz w:val="22"/>
                <w:lang w:bidi="ar"/>
              </w:rPr>
              <w:t>.复检工作不得分包*</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2"/>
              </w:rPr>
            </w:pPr>
          </w:p>
        </w:tc>
        <w:tc>
          <w:tcPr>
            <w:tcW w:w="0" w:type="auto"/>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3.3恪守职业道德方面</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46.检查是否存在瞒报、谎报食品安全抽检数据、结果等信息行为*</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47.检查是否存在篡改数据，出具虚假检验报告行为*</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3.4检验活动的独立性、公正性方面</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48.检查是否存在接受被抽检单位的馈赠，利用抽检结果开展有偿活动、牟取不正当利益行为*</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49.检查在实施监督抽检期间，是否存在接受企业同批次产品委托检验的行为*</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p>
        </w:tc>
        <w:tc>
          <w:tcPr>
            <w:tcW w:w="0" w:type="auto"/>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s="宋体"/>
                <w:color w:val="000000"/>
                <w:sz w:val="22"/>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50.其他影响检验数据、结果真实、准确、完整的行为*</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r>
              <w:rPr>
                <w:rFonts w:hint="eastAsia" w:ascii="宋体" w:hAnsi="宋体" w:cs="宋体"/>
                <w:color w:val="000000"/>
                <w:sz w:val="24"/>
              </w:rPr>
              <w:t>/</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2"/>
              </w:rPr>
            </w:pPr>
            <w:r>
              <w:rPr>
                <w:rFonts w:hint="eastAsia" w:ascii="宋体" w:hAnsi="宋体" w:cs="宋体"/>
                <w:color w:val="000000"/>
                <w:kern w:val="0"/>
                <w:sz w:val="22"/>
                <w:lang w:bidi="ar"/>
              </w:rPr>
              <w:t>4、技术能力考核</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盲样测试考核</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2"/>
              </w:rPr>
            </w:pPr>
            <w:r>
              <w:rPr>
                <w:rFonts w:hint="eastAsia" w:ascii="宋体" w:hAnsi="宋体" w:cs="宋体"/>
                <w:color w:val="000000"/>
                <w:kern w:val="0"/>
                <w:sz w:val="22"/>
                <w:lang w:bidi="ar"/>
              </w:rPr>
              <w:t>51.省局组织，现场考核</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s="宋体"/>
                <w:color w:val="000000"/>
                <w:sz w:val="24"/>
              </w:rPr>
            </w:pP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Cs w:val="21"/>
                <w:lang w:bidi="ar"/>
              </w:rPr>
              <w:t>3</w:t>
            </w:r>
          </w:p>
        </w:tc>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0" w:type="auto"/>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color w:val="000000"/>
                <w:kern w:val="0"/>
                <w:sz w:val="22"/>
                <w:lang w:bidi="ar"/>
              </w:rPr>
            </w:pPr>
            <w:r>
              <w:rPr>
                <w:rFonts w:hint="eastAsia" w:ascii="宋体" w:hAnsi="宋体" w:cs="宋体"/>
                <w:color w:val="000000"/>
                <w:kern w:val="0"/>
                <w:sz w:val="22"/>
                <w:lang w:bidi="ar"/>
              </w:rPr>
              <w:t>结论</w:t>
            </w:r>
          </w:p>
        </w:tc>
        <w:tc>
          <w:tcPr>
            <w:tcW w:w="12961" w:type="dxa"/>
            <w:gridSpan w:val="5"/>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宋体" w:hAnsi="宋体"/>
                <w:color w:val="000000"/>
              </w:rPr>
            </w:pPr>
          </w:p>
        </w:tc>
      </w:tr>
      <w:tr>
        <w:tblPrEx>
          <w:tblCellMar>
            <w:top w:w="0" w:type="dxa"/>
            <w:left w:w="0" w:type="dxa"/>
            <w:bottom w:w="0" w:type="dxa"/>
            <w:right w:w="0" w:type="dxa"/>
          </w:tblCellMar>
        </w:tblPrEx>
        <w:trPr>
          <w:trHeight w:val="454" w:hRule="atLeast"/>
        </w:trPr>
        <w:tc>
          <w:tcPr>
            <w:tcW w:w="13988"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hint="eastAsia" w:ascii="宋体" w:hAnsi="宋体"/>
                <w:color w:val="000000"/>
              </w:rPr>
            </w:pPr>
            <w:r>
              <w:rPr>
                <w:rFonts w:hint="eastAsia" w:ascii="宋体" w:hAnsi="宋体" w:cs="宋体"/>
                <w:color w:val="000000"/>
                <w:kern w:val="0"/>
                <w:sz w:val="22"/>
                <w:lang w:bidi="ar"/>
              </w:rPr>
              <w:t>备注：现场检查项目标记“*”为否决项。</w:t>
            </w:r>
          </w:p>
        </w:tc>
      </w:tr>
    </w:tbl>
    <w:p>
      <w:pPr>
        <w:jc w:val="left"/>
        <w:rPr>
          <w:rFonts w:hint="eastAsia" w:ascii="黑体" w:hAnsi="黑体" w:eastAsia="黑体" w:cs="黑体"/>
          <w:sz w:val="32"/>
          <w:szCs w:val="32"/>
        </w:rPr>
      </w:pPr>
    </w:p>
    <w:p>
      <w:pPr>
        <w:jc w:val="left"/>
        <w:rPr>
          <w:rFonts w:hint="eastAsia" w:ascii="黑体" w:hAnsi="黑体" w:eastAsia="黑体" w:cs="黑体"/>
          <w:sz w:val="32"/>
          <w:szCs w:val="32"/>
        </w:rPr>
      </w:pPr>
    </w:p>
    <w:p>
      <w:pPr>
        <w:jc w:val="left"/>
        <w:rPr>
          <w:rFonts w:hint="eastAsia" w:ascii="黑体" w:hAnsi="黑体" w:eastAsia="黑体" w:cs="黑体"/>
          <w:sz w:val="32"/>
          <w:szCs w:val="32"/>
        </w:rPr>
      </w:pPr>
      <w:r>
        <w:rPr>
          <w:rFonts w:hint="eastAsia" w:ascii="黑体" w:hAnsi="黑体" w:eastAsia="黑体" w:cs="黑体"/>
          <w:sz w:val="32"/>
          <w:szCs w:val="32"/>
        </w:rPr>
        <w:t>附件6</w:t>
      </w:r>
    </w:p>
    <w:p>
      <w:pPr>
        <w:jc w:val="center"/>
        <w:rPr>
          <w:rFonts w:hint="eastAsia"/>
          <w:b/>
          <w:bCs/>
          <w:sz w:val="36"/>
          <w:szCs w:val="36"/>
        </w:rPr>
      </w:pPr>
      <w:r>
        <w:rPr>
          <w:rFonts w:hint="eastAsia"/>
          <w:b/>
          <w:bCs/>
          <w:sz w:val="36"/>
          <w:szCs w:val="36"/>
        </w:rPr>
        <w:t>安徽省市场监督管理局食品安全抽检承检机构</w:t>
      </w:r>
    </w:p>
    <w:p>
      <w:pPr>
        <w:jc w:val="center"/>
        <w:rPr>
          <w:rFonts w:hint="eastAsia"/>
          <w:b/>
          <w:bCs/>
          <w:sz w:val="36"/>
          <w:szCs w:val="36"/>
        </w:rPr>
      </w:pPr>
      <w:r>
        <w:rPr>
          <w:rFonts w:hint="eastAsia"/>
          <w:b/>
          <w:bCs/>
          <w:sz w:val="36"/>
          <w:szCs w:val="36"/>
        </w:rPr>
        <w:t>现场检查证据汇总表</w:t>
      </w:r>
    </w:p>
    <w:p>
      <w:pPr>
        <w:jc w:val="left"/>
        <w:rPr>
          <w:rFonts w:hint="eastAsia"/>
          <w:sz w:val="24"/>
          <w:szCs w:val="24"/>
        </w:rPr>
      </w:pPr>
    </w:p>
    <w:p>
      <w:pPr>
        <w:jc w:val="left"/>
        <w:rPr>
          <w:rFonts w:hint="eastAsia"/>
          <w:sz w:val="24"/>
          <w:szCs w:val="24"/>
        </w:rPr>
      </w:pPr>
      <w:r>
        <w:rPr>
          <w:rFonts w:hint="eastAsia"/>
          <w:sz w:val="24"/>
          <w:szCs w:val="24"/>
        </w:rPr>
        <w:t>承检机构名称：                                                              考核日期：</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2"/>
        <w:gridCol w:w="4980"/>
        <w:gridCol w:w="5670"/>
        <w:gridCol w:w="1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序号</w:t>
            </w:r>
          </w:p>
        </w:tc>
        <w:tc>
          <w:tcPr>
            <w:tcW w:w="4980" w:type="dxa"/>
            <w:noWrap w:val="0"/>
            <w:vAlign w:val="center"/>
          </w:tcPr>
          <w:p>
            <w:pPr>
              <w:jc w:val="center"/>
              <w:rPr>
                <w:rFonts w:hint="eastAsia"/>
                <w:sz w:val="24"/>
                <w:szCs w:val="24"/>
              </w:rPr>
            </w:pPr>
            <w:r>
              <w:rPr>
                <w:rFonts w:hint="eastAsia"/>
                <w:sz w:val="24"/>
                <w:szCs w:val="24"/>
              </w:rPr>
              <w:t>证据描述</w:t>
            </w:r>
          </w:p>
        </w:tc>
        <w:tc>
          <w:tcPr>
            <w:tcW w:w="5670" w:type="dxa"/>
            <w:noWrap w:val="0"/>
            <w:vAlign w:val="center"/>
          </w:tcPr>
          <w:p>
            <w:pPr>
              <w:jc w:val="center"/>
              <w:rPr>
                <w:rFonts w:hint="eastAsia"/>
                <w:sz w:val="24"/>
                <w:szCs w:val="24"/>
              </w:rPr>
            </w:pPr>
            <w:r>
              <w:rPr>
                <w:rFonts w:hint="eastAsia"/>
                <w:sz w:val="24"/>
                <w:szCs w:val="24"/>
              </w:rPr>
              <w:t>对应问题</w:t>
            </w:r>
          </w:p>
        </w:tc>
        <w:tc>
          <w:tcPr>
            <w:tcW w:w="1942" w:type="dxa"/>
            <w:noWrap w:val="0"/>
            <w:vAlign w:val="center"/>
          </w:tcPr>
          <w:p>
            <w:pPr>
              <w:jc w:val="center"/>
              <w:rPr>
                <w:rFonts w:hint="eastAsia"/>
                <w:sz w:val="24"/>
                <w:szCs w:val="24"/>
              </w:rPr>
            </w:pPr>
            <w:r>
              <w:rPr>
                <w:rFonts w:hint="eastAsia"/>
                <w:sz w:val="24"/>
                <w:szCs w:val="24"/>
              </w:rPr>
              <w:t>提供人签字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1</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2</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3</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4</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5</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6</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7</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82" w:type="dxa"/>
            <w:noWrap w:val="0"/>
            <w:vAlign w:val="center"/>
          </w:tcPr>
          <w:p>
            <w:pPr>
              <w:jc w:val="center"/>
              <w:rPr>
                <w:rFonts w:hint="eastAsia"/>
                <w:sz w:val="24"/>
                <w:szCs w:val="24"/>
              </w:rPr>
            </w:pPr>
            <w:r>
              <w:rPr>
                <w:rFonts w:hint="eastAsia"/>
                <w:sz w:val="24"/>
                <w:szCs w:val="24"/>
              </w:rPr>
              <w:t>8</w:t>
            </w:r>
          </w:p>
        </w:tc>
        <w:tc>
          <w:tcPr>
            <w:tcW w:w="4980" w:type="dxa"/>
            <w:noWrap w:val="0"/>
            <w:vAlign w:val="top"/>
          </w:tcPr>
          <w:p>
            <w:pPr>
              <w:jc w:val="left"/>
              <w:rPr>
                <w:rFonts w:hint="eastAsia"/>
                <w:sz w:val="24"/>
                <w:szCs w:val="24"/>
              </w:rPr>
            </w:pPr>
          </w:p>
        </w:tc>
        <w:tc>
          <w:tcPr>
            <w:tcW w:w="5670" w:type="dxa"/>
            <w:noWrap w:val="0"/>
            <w:vAlign w:val="top"/>
          </w:tcPr>
          <w:p>
            <w:pPr>
              <w:jc w:val="left"/>
              <w:rPr>
                <w:rFonts w:hint="eastAsia"/>
                <w:sz w:val="24"/>
                <w:szCs w:val="24"/>
              </w:rPr>
            </w:pPr>
          </w:p>
        </w:tc>
        <w:tc>
          <w:tcPr>
            <w:tcW w:w="1942" w:type="dxa"/>
            <w:noWrap w:val="0"/>
            <w:vAlign w:val="top"/>
          </w:tcPr>
          <w:p>
            <w:pPr>
              <w:jc w:val="left"/>
              <w:rPr>
                <w:rFonts w:hint="eastAsia"/>
                <w:sz w:val="24"/>
                <w:szCs w:val="24"/>
              </w:rPr>
            </w:pPr>
          </w:p>
        </w:tc>
      </w:tr>
    </w:tbl>
    <w:p>
      <w:pPr>
        <w:jc w:val="left"/>
        <w:rPr>
          <w:rFonts w:hint="eastAsia"/>
          <w:sz w:val="24"/>
          <w:szCs w:val="24"/>
        </w:rPr>
      </w:pPr>
    </w:p>
    <w:p>
      <w:pPr>
        <w:jc w:val="left"/>
        <w:rPr>
          <w:rFonts w:hint="eastAsia"/>
          <w:sz w:val="24"/>
          <w:szCs w:val="24"/>
        </w:rPr>
        <w:sectPr>
          <w:pgSz w:w="16838" w:h="11906" w:orient="landscape"/>
          <w:pgMar w:top="1800" w:right="1440" w:bottom="1800" w:left="1440" w:header="851" w:footer="992" w:gutter="0"/>
          <w:pgNumType w:fmt="numberInDash"/>
          <w:cols w:space="720" w:num="1"/>
          <w:docGrid w:type="lines" w:linePitch="312" w:charSpace="0"/>
        </w:sectPr>
      </w:pPr>
      <w:r>
        <w:rPr>
          <w:rFonts w:hint="eastAsia"/>
          <w:sz w:val="24"/>
          <w:szCs w:val="24"/>
        </w:rPr>
        <w:t>检查组签字：</w:t>
      </w:r>
    </w:p>
    <w:p>
      <w:pPr>
        <w:pStyle w:val="3"/>
        <w:rPr>
          <w:rFonts w:hint="eastAsia"/>
        </w:rPr>
      </w:pPr>
    </w:p>
    <w:p>
      <w:pPr>
        <w:jc w:val="left"/>
        <w:rPr>
          <w:rFonts w:hint="eastAsia" w:ascii="黑体" w:hAnsi="黑体" w:eastAsia="黑体" w:cs="黑体"/>
          <w:sz w:val="32"/>
          <w:szCs w:val="32"/>
        </w:rPr>
      </w:pPr>
      <w:r>
        <w:rPr>
          <w:rFonts w:hint="eastAsia" w:ascii="黑体" w:hAnsi="黑体" w:eastAsia="黑体" w:cs="黑体"/>
          <w:sz w:val="32"/>
          <w:szCs w:val="32"/>
        </w:rPr>
        <w:t>附件3</w:t>
      </w:r>
    </w:p>
    <w:p>
      <w:pPr>
        <w:pStyle w:val="3"/>
        <w:rPr>
          <w:rFonts w:ascii="Calibri" w:hAnsi="Calibri"/>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安徽省食品安全承检机构日常工作质量</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考核工作实施细则</w:t>
      </w:r>
    </w:p>
    <w:p>
      <w:pPr>
        <w:rPr>
          <w:rFonts w:hint="eastAsia"/>
          <w:sz w:val="32"/>
          <w:szCs w:val="32"/>
        </w:rPr>
      </w:pP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1.总则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 制定目的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为规范省局食品安全抽样检验工作，督促承检机构提高食品安全抽样检验工作质量，根据《食品安全抽样检验管理办法》《安徽省食品安全承检机构管理办法》等相关规定，制定本细则。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 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省局食品抽检处对承担省局组织的国家和省级食品安全抽样检验任务的检验机构的日常工作质量考核，适用本细则。</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2.考核内容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工作及时性：主要考核承检机构是否按照计划和合同的安排以及省局要求完成指定的任务；如任务进度、样品交接、检验结果及各类材料的上报工作等。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 工作准确性：主要考核承检机构是否正确完成抽样检验中的指定任务，避免错误和遗漏，如国家食品安全抽样检验信息系统退修情况、初检结论推翻情况、上报材料退回情况等。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2.3其他质量问题：主要考核在日常工作中发现的检验机构存在的其他抽样检验质量问题。</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3.工作程序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 省局食品抽检处建立承检机构日常工作质量监督记录，主要记录日常工作中各承检机构存在的问题。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 年终考核时，省局食品抽检处依据《日常工作质量考核评分标准》（见附件）对承检机构日常工作质量进行综合评价。</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4.结果评价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全年日常工作质量考核满分为100分，发现各类问题依据《日常工作质量考核评分标准》（见附件）进行扣分。累计扣分少于或等于40分考核结果为通过，累计扣分多于40分时考核为不通过。</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5.处理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未通过日常工作质量考核的，按照《安徽省食品安全承检机构管理办法》进行处理。</w:t>
      </w:r>
    </w:p>
    <w:p>
      <w:pPr>
        <w:autoSpaceDE w:val="0"/>
        <w:autoSpaceDN w:val="0"/>
        <w:adjustRightInd w:val="0"/>
        <w:ind w:firstLine="642"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6.附则</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 本细则由省局食品抽检处负责解释。</w:t>
      </w:r>
    </w:p>
    <w:p>
      <w:pPr>
        <w:autoSpaceDE w:val="0"/>
        <w:autoSpaceDN w:val="0"/>
        <w:adjustRightInd w:val="0"/>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 本细则自印发之日起施行。</w:t>
      </w:r>
    </w:p>
    <w:p>
      <w:pPr>
        <w:pStyle w:val="3"/>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kern w:val="0"/>
          <w:sz w:val="32"/>
          <w:szCs w:val="32"/>
        </w:rPr>
        <w:t>日常工作质量考核评分标准</w:t>
      </w:r>
    </w:p>
    <w:p>
      <w:pPr>
        <w:pStyle w:val="3"/>
        <w:rPr>
          <w:rFonts w:hint="eastAsia"/>
        </w:rPr>
        <w:sectPr>
          <w:pgSz w:w="11906" w:h="16838"/>
          <w:pgMar w:top="2098" w:right="1474" w:bottom="1984" w:left="1588" w:header="851" w:footer="992" w:gutter="0"/>
          <w:pgNumType w:fmt="numberInDash"/>
          <w:cols w:space="720" w:num="1"/>
          <w:docGrid w:type="lines" w:linePitch="312" w:charSpace="0"/>
        </w:sectPr>
      </w:pPr>
    </w:p>
    <w:p>
      <w:pPr>
        <w:autoSpaceDE w:val="0"/>
        <w:autoSpaceDN w:val="0"/>
        <w:adjustRightInd w:val="0"/>
        <w:jc w:val="left"/>
        <w:rPr>
          <w:rFonts w:hint="eastAsia" w:ascii="黑体" w:hAnsi="黑体" w:eastAsia="黑体" w:cs="黑体"/>
          <w:kern w:val="0"/>
          <w:sz w:val="32"/>
          <w:szCs w:val="32"/>
        </w:rPr>
      </w:pPr>
      <w:r>
        <w:rPr>
          <w:rFonts w:hint="eastAsia" w:ascii="黑体" w:hAnsi="黑体" w:eastAsia="黑体" w:cs="黑体"/>
          <w:kern w:val="0"/>
          <w:sz w:val="32"/>
          <w:szCs w:val="32"/>
        </w:rPr>
        <w:t>附件</w:t>
      </w:r>
    </w:p>
    <w:p>
      <w:pPr>
        <w:pStyle w:val="3"/>
        <w:ind w:firstLine="0" w:firstLineChars="0"/>
        <w:jc w:val="center"/>
        <w:rPr>
          <w:rFonts w:hint="eastAsia" w:ascii="方正小标宋简体" w:hAnsi="方正小标宋简体" w:eastAsia="方正小标宋简体" w:cs="方正小标宋简体"/>
          <w:kern w:val="0"/>
          <w:sz w:val="40"/>
          <w:szCs w:val="40"/>
        </w:rPr>
      </w:pPr>
      <w:r>
        <w:rPr>
          <w:rFonts w:hint="eastAsia" w:ascii="方正小标宋简体" w:hAnsi="方正小标宋简体" w:eastAsia="方正小标宋简体" w:cs="方正小标宋简体"/>
          <w:kern w:val="0"/>
          <w:sz w:val="40"/>
          <w:szCs w:val="40"/>
        </w:rPr>
        <w:t>日常工作质量考核评分标准</w:t>
      </w:r>
    </w:p>
    <w:p>
      <w:pPr>
        <w:pStyle w:val="3"/>
        <w:ind w:firstLine="0" w:firstLineChars="0"/>
        <w:jc w:val="center"/>
        <w:rPr>
          <w:rFonts w:hint="eastAsia" w:ascii="方正小标宋简体" w:hAnsi="方正小标宋简体" w:eastAsia="方正小标宋简体" w:cs="方正小标宋简体"/>
          <w:kern w:val="0"/>
          <w:sz w:val="40"/>
          <w:szCs w:val="40"/>
        </w:rPr>
      </w:pPr>
    </w:p>
    <w:tbl>
      <w:tblPr>
        <w:tblStyle w:val="7"/>
        <w:tblW w:w="14174" w:type="dxa"/>
        <w:tblInd w:w="0" w:type="dxa"/>
        <w:tblLayout w:type="fixed"/>
        <w:tblCellMar>
          <w:top w:w="0" w:type="dxa"/>
          <w:left w:w="108" w:type="dxa"/>
          <w:bottom w:w="0" w:type="dxa"/>
          <w:right w:w="108" w:type="dxa"/>
        </w:tblCellMar>
      </w:tblPr>
      <w:tblGrid>
        <w:gridCol w:w="1667"/>
        <w:gridCol w:w="3532"/>
        <w:gridCol w:w="746"/>
        <w:gridCol w:w="8229"/>
      </w:tblGrid>
      <w:tr>
        <w:tblPrEx>
          <w:tblCellMar>
            <w:top w:w="0" w:type="dxa"/>
            <w:left w:w="108" w:type="dxa"/>
            <w:bottom w:w="0" w:type="dxa"/>
            <w:right w:w="108" w:type="dxa"/>
          </w:tblCellMar>
        </w:tblPrEx>
        <w:trPr>
          <w:trHeight w:val="420" w:hRule="atLeast"/>
        </w:trPr>
        <w:tc>
          <w:tcPr>
            <w:tcW w:w="16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考核项目</w:t>
            </w:r>
          </w:p>
        </w:tc>
        <w:tc>
          <w:tcPr>
            <w:tcW w:w="35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考核内容</w:t>
            </w:r>
          </w:p>
        </w:tc>
        <w:tc>
          <w:tcPr>
            <w:tcW w:w="74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满分</w:t>
            </w:r>
          </w:p>
        </w:tc>
        <w:tc>
          <w:tcPr>
            <w:tcW w:w="8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Cs/>
                <w:color w:val="000000"/>
                <w:kern w:val="0"/>
                <w:sz w:val="24"/>
                <w:szCs w:val="24"/>
              </w:rPr>
            </w:pPr>
            <w:r>
              <w:rPr>
                <w:rFonts w:hint="eastAsia" w:ascii="黑体" w:hAnsi="黑体" w:eastAsia="黑体" w:cs="黑体"/>
                <w:bCs/>
                <w:color w:val="000000"/>
                <w:kern w:val="0"/>
                <w:sz w:val="24"/>
                <w:szCs w:val="24"/>
              </w:rPr>
              <w:t>评  分  说  明</w:t>
            </w:r>
          </w:p>
        </w:tc>
      </w:tr>
      <w:tr>
        <w:tblPrEx>
          <w:tblCellMar>
            <w:top w:w="0" w:type="dxa"/>
            <w:left w:w="108" w:type="dxa"/>
            <w:bottom w:w="0" w:type="dxa"/>
            <w:right w:w="108" w:type="dxa"/>
          </w:tblCellMar>
        </w:tblPrEx>
        <w:trPr>
          <w:trHeight w:val="420" w:hRule="atLeast"/>
        </w:trPr>
        <w:tc>
          <w:tcPr>
            <w:tcW w:w="1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35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74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8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20" w:hRule="atLeast"/>
        </w:trPr>
        <w:tc>
          <w:tcPr>
            <w:tcW w:w="166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工作及时性</w:t>
            </w:r>
          </w:p>
        </w:tc>
        <w:tc>
          <w:tcPr>
            <w:tcW w:w="35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是否按要求序时完成抽检任务</w:t>
            </w:r>
          </w:p>
        </w:tc>
        <w:tc>
          <w:tcPr>
            <w:tcW w:w="7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10</w:t>
            </w:r>
          </w:p>
        </w:tc>
        <w:tc>
          <w:tcPr>
            <w:tcW w:w="822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未按计划、合同或省局要求完成抽检任务的，扣10分；</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检验结果是否按要求时间上报</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10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未按要求时间上报检验结果一次扣2分，扣完为止；</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是否按要求提交各类统计数据</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10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未按要求时间汇总统计检验结果和数据的一次扣2分，扣完为止；</w:t>
            </w:r>
          </w:p>
        </w:tc>
      </w:tr>
      <w:tr>
        <w:tblPrEx>
          <w:tblCellMar>
            <w:top w:w="0" w:type="dxa"/>
            <w:left w:w="108" w:type="dxa"/>
            <w:bottom w:w="0" w:type="dxa"/>
            <w:right w:w="108" w:type="dxa"/>
          </w:tblCellMar>
        </w:tblPrEx>
        <w:trPr>
          <w:trHeight w:val="560" w:hRule="atLeast"/>
        </w:trPr>
        <w:tc>
          <w:tcPr>
            <w:tcW w:w="1667" w:type="dxa"/>
            <w:vMerge w:val="restart"/>
            <w:tcBorders>
              <w:top w:val="nil"/>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工作准确性</w:t>
            </w:r>
          </w:p>
        </w:tc>
        <w:tc>
          <w:tcPr>
            <w:tcW w:w="35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抽检数据退修情况</w:t>
            </w:r>
          </w:p>
        </w:tc>
        <w:tc>
          <w:tcPr>
            <w:tcW w:w="746"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hint="eastAsia" w:eastAsia="仿宋_GB2312"/>
                <w:color w:val="000000"/>
                <w:kern w:val="0"/>
                <w:sz w:val="24"/>
                <w:szCs w:val="24"/>
              </w:rPr>
              <w:t>20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auto"/>
                <w:kern w:val="0"/>
                <w:sz w:val="24"/>
                <w:szCs w:val="24"/>
              </w:rPr>
            </w:pPr>
            <w:r>
              <w:rPr>
                <w:rFonts w:hint="eastAsia" w:eastAsia="仿宋_GB2312"/>
                <w:color w:val="auto"/>
                <w:kern w:val="0"/>
                <w:sz w:val="24"/>
                <w:szCs w:val="24"/>
              </w:rPr>
              <w:t>退修率倒数第一名得0分，每递增一个名次，加1分；</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是否存在初检结果经复检被推翻的情况</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20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auto"/>
                <w:kern w:val="0"/>
                <w:sz w:val="24"/>
                <w:szCs w:val="24"/>
                <w:highlight w:val="none"/>
              </w:rPr>
            </w:pPr>
            <w:r>
              <w:rPr>
                <w:rFonts w:eastAsia="仿宋_GB2312"/>
                <w:color w:val="auto"/>
                <w:kern w:val="0"/>
                <w:sz w:val="24"/>
                <w:szCs w:val="24"/>
                <w:highlight w:val="none"/>
              </w:rPr>
              <w:t>推翻一次扣4分，扣完为止；</w:t>
            </w:r>
          </w:p>
        </w:tc>
      </w:tr>
      <w:tr>
        <w:tblPrEx>
          <w:tblCellMar>
            <w:top w:w="0" w:type="dxa"/>
            <w:left w:w="108" w:type="dxa"/>
            <w:bottom w:w="0" w:type="dxa"/>
            <w:right w:w="108" w:type="dxa"/>
          </w:tblCellMar>
        </w:tblPrEx>
        <w:trPr>
          <w:trHeight w:val="420" w:hRule="atLeast"/>
        </w:trPr>
        <w:tc>
          <w:tcPr>
            <w:tcW w:w="1667"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p>
        </w:tc>
        <w:tc>
          <w:tcPr>
            <w:tcW w:w="3532" w:type="dxa"/>
            <w:tcBorders>
              <w:top w:val="nil"/>
              <w:left w:val="nil"/>
              <w:bottom w:val="single" w:color="auto" w:sz="4" w:space="0"/>
              <w:right w:val="single" w:color="auto" w:sz="4" w:space="0"/>
            </w:tcBorders>
            <w:noWrap w:val="0"/>
            <w:vAlign w:val="center"/>
          </w:tcPr>
          <w:p>
            <w:pPr>
              <w:widowControl/>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是否存在抽检过程中异议被认可的情况</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hint="eastAsia" w:eastAsia="仿宋_GB2312"/>
                <w:color w:val="000000"/>
                <w:kern w:val="0"/>
                <w:sz w:val="24"/>
                <w:szCs w:val="24"/>
              </w:rPr>
              <w:t>20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auto"/>
                <w:kern w:val="0"/>
                <w:sz w:val="24"/>
                <w:szCs w:val="24"/>
                <w:highlight w:val="none"/>
              </w:rPr>
            </w:pPr>
            <w:r>
              <w:rPr>
                <w:rFonts w:hint="eastAsia" w:eastAsia="仿宋_GB2312"/>
                <w:color w:val="auto"/>
                <w:kern w:val="0"/>
                <w:sz w:val="24"/>
                <w:szCs w:val="24"/>
                <w:highlight w:val="none"/>
              </w:rPr>
              <w:t>异议认可</w:t>
            </w:r>
            <w:r>
              <w:rPr>
                <w:rFonts w:eastAsia="仿宋_GB2312"/>
                <w:color w:val="auto"/>
                <w:kern w:val="0"/>
                <w:sz w:val="24"/>
                <w:szCs w:val="24"/>
                <w:highlight w:val="none"/>
              </w:rPr>
              <w:t>一次扣4分，扣完为止；</w:t>
            </w:r>
          </w:p>
        </w:tc>
      </w:tr>
      <w:tr>
        <w:tblPrEx>
          <w:tblCellMar>
            <w:top w:w="0" w:type="dxa"/>
            <w:left w:w="108" w:type="dxa"/>
            <w:bottom w:w="0" w:type="dxa"/>
            <w:right w:w="108" w:type="dxa"/>
          </w:tblCellMar>
        </w:tblPrEx>
        <w:trPr>
          <w:trHeight w:val="420" w:hRule="atLeast"/>
        </w:trPr>
        <w:tc>
          <w:tcPr>
            <w:tcW w:w="166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其他质量问题</w:t>
            </w:r>
          </w:p>
        </w:tc>
        <w:tc>
          <w:tcPr>
            <w:tcW w:w="353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发现的其他抽样检验问题</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10</w:t>
            </w:r>
          </w:p>
        </w:tc>
        <w:tc>
          <w:tcPr>
            <w:tcW w:w="8229" w:type="dxa"/>
            <w:tcBorders>
              <w:top w:val="nil"/>
              <w:left w:val="nil"/>
              <w:bottom w:val="single" w:color="auto" w:sz="4" w:space="0"/>
              <w:right w:val="single" w:color="auto" w:sz="4" w:space="0"/>
            </w:tcBorders>
            <w:noWrap w:val="0"/>
            <w:vAlign w:val="center"/>
          </w:tcPr>
          <w:p>
            <w:pPr>
              <w:widowControl/>
              <w:ind w:firstLine="480" w:firstLineChars="200"/>
              <w:jc w:val="left"/>
              <w:rPr>
                <w:rFonts w:hint="eastAsia" w:eastAsia="仿宋_GB2312"/>
                <w:color w:val="000000"/>
                <w:kern w:val="0"/>
                <w:sz w:val="24"/>
                <w:szCs w:val="24"/>
              </w:rPr>
            </w:pPr>
            <w:r>
              <w:rPr>
                <w:rFonts w:eastAsia="仿宋_GB2312"/>
                <w:color w:val="000000"/>
                <w:kern w:val="0"/>
                <w:sz w:val="24"/>
                <w:szCs w:val="24"/>
              </w:rPr>
              <w:t>日常后处理等发现的其他抽样检验过程中存在的质量问题，发现一次扣2分，扣完为止</w:t>
            </w:r>
            <w:r>
              <w:rPr>
                <w:rFonts w:hint="eastAsia" w:eastAsia="仿宋_GB2312"/>
                <w:color w:val="000000"/>
                <w:kern w:val="0"/>
                <w:sz w:val="24"/>
                <w:szCs w:val="24"/>
              </w:rPr>
              <w:t>。</w:t>
            </w:r>
          </w:p>
        </w:tc>
      </w:tr>
      <w:tr>
        <w:tblPrEx>
          <w:tblCellMar>
            <w:top w:w="0" w:type="dxa"/>
            <w:left w:w="108" w:type="dxa"/>
            <w:bottom w:w="0" w:type="dxa"/>
            <w:right w:w="108" w:type="dxa"/>
          </w:tblCellMar>
        </w:tblPrEx>
        <w:trPr>
          <w:trHeight w:val="420" w:hRule="atLeast"/>
        </w:trPr>
        <w:tc>
          <w:tcPr>
            <w:tcW w:w="519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合计</w:t>
            </w:r>
          </w:p>
        </w:tc>
        <w:tc>
          <w:tcPr>
            <w:tcW w:w="746"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100</w:t>
            </w:r>
          </w:p>
        </w:tc>
        <w:tc>
          <w:tcPr>
            <w:tcW w:w="8229" w:type="dxa"/>
            <w:tcBorders>
              <w:top w:val="nil"/>
              <w:left w:val="nil"/>
              <w:bottom w:val="single" w:color="auto" w:sz="4" w:space="0"/>
              <w:right w:val="single" w:color="auto" w:sz="4" w:space="0"/>
            </w:tcBorders>
            <w:noWrap w:val="0"/>
            <w:vAlign w:val="center"/>
          </w:tcPr>
          <w:p>
            <w:pPr>
              <w:widowControl/>
              <w:jc w:val="center"/>
              <w:rPr>
                <w:rFonts w:eastAsia="仿宋_GB2312"/>
                <w:color w:val="000000"/>
                <w:kern w:val="0"/>
                <w:sz w:val="24"/>
                <w:szCs w:val="24"/>
              </w:rPr>
            </w:pPr>
            <w:r>
              <w:rPr>
                <w:rFonts w:eastAsia="仿宋_GB2312"/>
                <w:color w:val="000000"/>
                <w:kern w:val="0"/>
                <w:sz w:val="24"/>
                <w:szCs w:val="24"/>
              </w:rPr>
              <w:t>/</w:t>
            </w:r>
          </w:p>
        </w:tc>
      </w:tr>
    </w:tbl>
    <w:p>
      <w:pPr>
        <w:rPr>
          <w:color w:val="000000"/>
        </w:rPr>
      </w:pPr>
    </w:p>
    <w:p>
      <w:pPr>
        <w:pStyle w:val="3"/>
        <w:rPr>
          <w:color w:val="000000"/>
        </w:rPr>
      </w:pPr>
    </w:p>
    <w:p>
      <w:pPr>
        <w:jc w:val="left"/>
        <w:rPr>
          <w:rFonts w:hint="eastAsia" w:ascii="黑体" w:hAnsi="黑体" w:eastAsia="黑体" w:cs="黑体"/>
          <w:bCs/>
          <w:sz w:val="32"/>
          <w:szCs w:val="32"/>
        </w:rPr>
        <w:sectPr>
          <w:pgSz w:w="16838" w:h="11906" w:orient="landscape"/>
          <w:pgMar w:top="1588" w:right="2098" w:bottom="1474" w:left="1984" w:header="851" w:footer="992" w:gutter="0"/>
          <w:pgNumType w:fmt="numberInDash"/>
          <w:cols w:space="720" w:num="1"/>
          <w:docGrid w:type="lines" w:linePitch="312" w:charSpace="0"/>
        </w:sectPr>
      </w:pPr>
    </w:p>
    <w:p>
      <w:pPr>
        <w:jc w:val="left"/>
        <w:rPr>
          <w:rFonts w:hint="eastAsia" w:ascii="黑体" w:hAnsi="黑体" w:eastAsia="黑体" w:cs="黑体"/>
          <w:bCs/>
          <w:sz w:val="32"/>
          <w:szCs w:val="32"/>
        </w:rPr>
      </w:pPr>
      <w:r>
        <w:rPr>
          <w:rFonts w:hint="eastAsia" w:ascii="黑体" w:hAnsi="黑体" w:eastAsia="黑体" w:cs="黑体"/>
          <w:bCs/>
          <w:sz w:val="32"/>
          <w:szCs w:val="32"/>
        </w:rPr>
        <w:t>附件4</w:t>
      </w:r>
    </w:p>
    <w:p>
      <w:pPr>
        <w:pStyle w:val="3"/>
        <w:rPr>
          <w:rFonts w:ascii="Calibri" w:hAnsi="Calibri"/>
        </w:rPr>
      </w:pPr>
    </w:p>
    <w:p>
      <w:pPr>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安徽省省局组织抽检监测任务</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数据抽查工作实施细则</w:t>
      </w:r>
    </w:p>
    <w:p>
      <w:pPr>
        <w:rPr>
          <w:rFonts w:hint="eastAsia" w:ascii="华文仿宋" w:hAnsi="华文仿宋" w:eastAsia="华文仿宋"/>
          <w:sz w:val="28"/>
          <w:szCs w:val="28"/>
        </w:rPr>
      </w:pP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为做好食品安全抽检监测数据抽查工作，制定安徽省省局组织抽检监测任务的数据抽查工作实施细则。</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一、抽查范围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pacing w:val="8"/>
          <w:kern w:val="0"/>
          <w:sz w:val="32"/>
          <w:szCs w:val="32"/>
        </w:rPr>
        <w:t>总局</w:t>
      </w:r>
      <w:r>
        <w:rPr>
          <w:rFonts w:hint="eastAsia" w:ascii="仿宋_GB2312" w:hAnsi="仿宋_GB2312" w:eastAsia="仿宋_GB2312" w:cs="仿宋_GB2312"/>
          <w:sz w:val="32"/>
          <w:szCs w:val="32"/>
        </w:rPr>
        <w:t>食品抽检计划要求，省局每月组织抽查不少于5%的抽检监测数据，抽查范围覆盖省局组织的抽检监测任务。抽查数据来源为上报国家食品安全抽样检验信息系统(以下简称“国抽信息系统”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的抽检监测数据。</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二、抽查比例及要求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w:t>
      </w:r>
      <w:r>
        <w:rPr>
          <w:rFonts w:hint="eastAsia" w:ascii="仿宋_GB2312" w:hAnsi="仿宋_GB2312" w:eastAsia="仿宋_GB2312" w:cs="仿宋_GB2312"/>
          <w:bCs/>
          <w:sz w:val="32"/>
          <w:szCs w:val="32"/>
        </w:rPr>
        <w:t>每月组织对</w:t>
      </w:r>
      <w:r>
        <w:rPr>
          <w:rFonts w:hint="eastAsia" w:ascii="仿宋_GB2312" w:hAnsi="仿宋_GB2312" w:eastAsia="仿宋_GB2312" w:cs="仿宋_GB2312"/>
          <w:sz w:val="32"/>
          <w:szCs w:val="32"/>
        </w:rPr>
        <w:t>国抽信息系统中省局组织的不少于5%的抽检数据进行抽查。数据抽查原则上以省局组织的抽检监测完全提交数据为主，省局抽检监测秘书处也可根据省局工作需要，组织牵头机构于特定时间段对特定数据进行抽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被抽查数据由省局抽检监测秘书处随机抽取，覆盖所有承检机构、覆盖所有上报抽检系统食品大类抽检监测数据、覆盖所有抽检区域及环节，满足省局相关抽检工作要求。</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三、抽查内容和核查方式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（一）抽查内容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主要抽查以下抽样检验数据信息：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1、样品信息。主要检查抽样单、检验报告上的样品信息与产品标签、说明书是否一致。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2、食品类别。主要检查样品分类是否正确。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3、检验项目。主要检查检验项目与细则及相关文件要求是否一致。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4、检验方法。主要检查检验方法是否符合细则及相关文件要求，方法检出限、定量限是否正确。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5、检验结果。主要检查检验结果的格式是否规范、单位是否正确。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6、判定依据。主要检查判定依据与细则及相关文件要求规定是否一致。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7、检验结论。主要检查检验结论是否存在错判。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8、抽样照片。主要检查抽样照片是否符合规定要求。</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9、抽样区域是否合理。</w:t>
      </w:r>
      <w:r>
        <w:rPr>
          <w:rFonts w:ascii="仿宋_GB2312" w:hAnsi="仿宋_GB2312" w:eastAsia="仿宋_GB2312" w:cs="仿宋_GB2312"/>
          <w:sz w:val="32"/>
          <w:szCs w:val="32"/>
        </w:rPr>
        <w:t xml:space="preserve">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10、其他。其他可能影响数据准确性的内容。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主要核查承检机构在国家食品安全抽样检验信息系统上传的样品照片、抽样单和检验报告等抽检数据。</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四、工作步骤及时限要求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（一）数据抽取及时限要求</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省局抽检监测秘书处</w:t>
      </w:r>
      <w:r>
        <w:rPr>
          <w:rFonts w:hint="eastAsia" w:ascii="仿宋_GB2312" w:hAnsi="仿宋_GB2312" w:eastAsia="仿宋_GB2312" w:cs="仿宋_GB2312"/>
          <w:bCs/>
          <w:sz w:val="32"/>
          <w:szCs w:val="32"/>
        </w:rPr>
        <w:t>在每月第1个工作日从抽检系统中按比例抽取数据，将抽样编号（或抽样单、检验报告等抽样检验数据信息）下发至省局抽检工作牵头机构。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机构收到被抽查样品信息3个工作日内完成《省级食品安全抽检监测数据抽查明细表》，第5个工作日省局抽检监测秘书处组织牵头机构集中会议，商讨数据抽查发现的问题，如发现同一承检机构当月出现3批次以上相同问题，应立即向省局食品抽检处报告，并对该承检机构当月完成的检验的全部样品进行检查，避免遗漏系统性问题，第6个工作日牵头机构将盖章或签字扫描件及电子版文件报送至省局抽检监测秘书处。</w:t>
      </w:r>
    </w:p>
    <w:p>
      <w:pPr>
        <w:pStyle w:val="3"/>
        <w:ind w:firstLine="640"/>
        <w:rPr>
          <w:rFonts w:hint="eastAsia"/>
        </w:rPr>
      </w:pPr>
      <w:r>
        <w:rPr>
          <w:rFonts w:hint="eastAsia" w:ascii="仿宋_GB2312" w:hAnsi="仿宋_GB2312" w:eastAsia="仿宋_GB2312" w:cs="仿宋_GB2312"/>
          <w:sz w:val="32"/>
          <w:szCs w:val="32"/>
        </w:rPr>
        <w:t>牵头机构所承担省局组织任务的数据抽查由秘书处统一安排进行互查。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（二）异议处理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省局抽检监测秘书处收到牵头机构或相关人员数据抽查结果后1个工作日内完成汇总分析，并将结果通报各相关承检机构。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抽检发现的问题，秘书处及时与相关承检机构核实，如实记录核实情况，并通知承检机构在2个工作日内完成数据退修等工作。承检机构如有异议的，应在2个工作日内将异议申请及相关证明材料书面反馈省局抽检监测秘书处。秘书处收到承检机构异议申请后2个工作日，对异议进行核实处理，并向承检机构反馈。</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五、数据抽查评分方法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（一）评分细则及计算</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省局食品抽检监测秘书处根据牵头机构对食品安全抽检监测系统中的数据进行审核发现的问题、总局数据抽查中涉及到的省局承检机构数据反馈的问题以及涉及承检机构的其他问题，按照以下考核步骤进行评分：</w:t>
      </w:r>
    </w:p>
    <w:p>
      <w:pPr>
        <w:numPr>
          <w:ilvl w:val="0"/>
          <w:numId w:val="1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严格按照表1列举的问题分值对各承检机构数据抽查中发现的问题进行打分，得到各承检机构的当月总扣分值A；</w:t>
      </w:r>
    </w:p>
    <w:p>
      <w:pPr>
        <w:pStyle w:val="3"/>
        <w:numPr>
          <w:ilvl w:val="0"/>
          <w:numId w:val="1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承检机构的当月总扣分值A除以该机构当月抽查的报告总数B，得到的结果C可视为该机构每份报告所扣分值；</w:t>
      </w:r>
    </w:p>
    <w:p>
      <w:pPr>
        <w:pStyle w:val="3"/>
        <w:numPr>
          <w:ilvl w:val="0"/>
          <w:numId w:val="13"/>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各承检机构当月数据抽查得分X计算公式为：</w:t>
      </w:r>
    </w:p>
    <w:p>
      <w:pPr>
        <w:pStyle w:val="3"/>
        <w:ind w:firstLine="0" w:firstLineChars="0"/>
        <w:jc w:val="center"/>
        <w:rPr>
          <w:rFonts w:ascii="仿宋_GB2312" w:hAnsi="仿宋_GB2312" w:eastAsia="仿宋_GB2312" w:cs="仿宋_GB2312"/>
          <w:sz w:val="32"/>
          <w:szCs w:val="32"/>
        </w:rPr>
      </w:pPr>
      <w:r>
        <w:rPr>
          <w:rFonts w:ascii="仿宋_GB2312" w:hAnsi="仿宋_GB2312" w:eastAsia="仿宋_GB2312" w:cs="仿宋_GB2312"/>
          <w:position w:val="-28"/>
          <w:sz w:val="44"/>
          <w:szCs w:val="44"/>
        </w:rPr>
        <w:object>
          <v:shape id="_x0000_i1025" o:spt="75" type="#_x0000_t75" style="height:34pt;width:88pt;" o:ole="t" filled="f" o:preferrelative="t" stroked="f" coordsize="21600,21600">
            <v:path/>
            <v:fill on="f" focussize="0,0"/>
            <v:stroke on="f"/>
            <v:imagedata r:id="rId6" o:title=""/>
            <o:lock v:ext="edit" aspectratio="t"/>
            <w10:wrap type="none"/>
            <w10:anchorlock/>
          </v:shape>
          <o:OLEObject Type="Embed" ProgID="Equation.KSEE3" ShapeID="_x0000_i1025" DrawAspect="Content" ObjectID="_1468075725" r:id="rId5">
            <o:LockedField>false</o:LockedField>
          </o:OLEObject>
        </w:object>
      </w: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p>
    <w:p>
      <w:pPr>
        <w:jc w:val="center"/>
        <w:rPr>
          <w:rFonts w:hint="eastAsia" w:eastAsia="仿宋_GB2312"/>
          <w:color w:val="000000"/>
          <w:kern w:val="0"/>
          <w:sz w:val="24"/>
        </w:rPr>
      </w:pPr>
      <w:r>
        <w:rPr>
          <w:rFonts w:hint="eastAsia" w:eastAsia="仿宋_GB2312"/>
          <w:color w:val="000000"/>
          <w:kern w:val="0"/>
          <w:sz w:val="24"/>
        </w:rPr>
        <w:t>表1 省局承检机构数据抽查评分细则</w:t>
      </w:r>
    </w:p>
    <w:tbl>
      <w:tblPr>
        <w:tblStyle w:val="7"/>
        <w:tblW w:w="4997" w:type="pct"/>
        <w:tblInd w:w="0" w:type="dxa"/>
        <w:tblLayout w:type="fixed"/>
        <w:tblCellMar>
          <w:top w:w="0" w:type="dxa"/>
          <w:left w:w="108" w:type="dxa"/>
          <w:bottom w:w="0" w:type="dxa"/>
          <w:right w:w="108" w:type="dxa"/>
        </w:tblCellMar>
      </w:tblPr>
      <w:tblGrid>
        <w:gridCol w:w="783"/>
        <w:gridCol w:w="2339"/>
        <w:gridCol w:w="3115"/>
        <w:gridCol w:w="2818"/>
      </w:tblGrid>
      <w:tr>
        <w:tblPrEx>
          <w:tblCellMar>
            <w:top w:w="0" w:type="dxa"/>
            <w:left w:w="108" w:type="dxa"/>
            <w:bottom w:w="0" w:type="dxa"/>
            <w:right w:w="108" w:type="dxa"/>
          </w:tblCellMar>
        </w:tblPrEx>
        <w:trPr>
          <w:trHeight w:val="300" w:hRule="atLeast"/>
        </w:trPr>
        <w:tc>
          <w:tcPr>
            <w:tcW w:w="432"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序号</w:t>
            </w:r>
          </w:p>
        </w:tc>
        <w:tc>
          <w:tcPr>
            <w:tcW w:w="1291"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数据质量问题类型</w:t>
            </w:r>
          </w:p>
        </w:tc>
        <w:tc>
          <w:tcPr>
            <w:tcW w:w="1720" w:type="pc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具体情况</w:t>
            </w:r>
          </w:p>
        </w:tc>
        <w:tc>
          <w:tcPr>
            <w:tcW w:w="1556" w:type="pct"/>
            <w:tcBorders>
              <w:top w:val="single" w:color="000000" w:sz="8" w:space="0"/>
              <w:left w:val="nil"/>
              <w:bottom w:val="single" w:color="000000" w:sz="8" w:space="0"/>
              <w:right w:val="single" w:color="000000" w:sz="8" w:space="0"/>
            </w:tcBorders>
            <w:noWrap w:val="0"/>
            <w:vAlign w:val="center"/>
          </w:tcPr>
          <w:p>
            <w:pPr>
              <w:widowControl/>
              <w:jc w:val="center"/>
              <w:textAlignment w:val="center"/>
              <w:rPr>
                <w:rFonts w:hint="eastAsia" w:ascii="宋体" w:hAnsi="宋体" w:cs="宋体"/>
                <w:b/>
                <w:bCs/>
                <w:color w:val="000000"/>
                <w:sz w:val="24"/>
                <w:szCs w:val="24"/>
              </w:rPr>
            </w:pPr>
            <w:r>
              <w:rPr>
                <w:rFonts w:hint="eastAsia" w:ascii="宋体" w:hAnsi="宋体" w:cs="宋体"/>
                <w:b/>
                <w:bCs/>
                <w:color w:val="000000"/>
                <w:kern w:val="0"/>
                <w:sz w:val="24"/>
                <w:szCs w:val="24"/>
                <w:lang w:bidi="ar"/>
              </w:rPr>
              <w:t>分值</w:t>
            </w:r>
          </w:p>
        </w:tc>
      </w:tr>
      <w:tr>
        <w:tblPrEx>
          <w:tblCellMar>
            <w:top w:w="0" w:type="dxa"/>
            <w:left w:w="108" w:type="dxa"/>
            <w:bottom w:w="0" w:type="dxa"/>
            <w:right w:w="108" w:type="dxa"/>
          </w:tblCellMar>
        </w:tblPrEx>
        <w:trPr>
          <w:trHeight w:val="330" w:hRule="atLeast"/>
        </w:trPr>
        <w:tc>
          <w:tcPr>
            <w:tcW w:w="432" w:type="pct"/>
            <w:vMerge w:val="restart"/>
            <w:tcBorders>
              <w:top w:val="nil"/>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1</w:t>
            </w:r>
          </w:p>
        </w:tc>
        <w:tc>
          <w:tcPr>
            <w:tcW w:w="1291" w:type="pct"/>
            <w:vMerge w:val="restart"/>
            <w:tcBorders>
              <w:top w:val="nil"/>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食品分类问题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食品大类间问题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nil"/>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nil"/>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食品大类内问题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2</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2</w:t>
            </w:r>
          </w:p>
        </w:tc>
        <w:tc>
          <w:tcPr>
            <w:tcW w:w="1291" w:type="pct"/>
            <w:vMerge w:val="restar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样品基本信息问题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样品名称问题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被抽样单位名称问题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生产企业名称问题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营业执照号、生产许可证号问题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2</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包装类型、样品规格问题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生产企业、被抽样单位所在区域问题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抽样人员仅录入一人</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抽样区域、环节、场所及类型问题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样品类型问题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日期类型问题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许可证类型问题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585"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联系人、电话、保质期、保存条件及商标等问题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第三方信息问题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食用农产品溯源信息未填报或填报不全</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加工食品溯源信息未填报或填报不全</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证照过期问题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3</w:t>
            </w:r>
          </w:p>
        </w:tc>
        <w:tc>
          <w:tcPr>
            <w:tcW w:w="1291" w:type="pc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抽样量问题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抽样量不满足细则要求</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4</w:t>
            </w:r>
          </w:p>
        </w:tc>
        <w:tc>
          <w:tcPr>
            <w:tcW w:w="1291" w:type="pct"/>
            <w:vMerge w:val="restar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结果判定问题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判定依据问题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限量值问题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单项判定错误、未检验却判定为合格项</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5</w:t>
            </w:r>
          </w:p>
        </w:tc>
        <w:tc>
          <w:tcPr>
            <w:tcW w:w="1291" w:type="pc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检验方法问题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检验方法问题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restar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6</w:t>
            </w:r>
          </w:p>
        </w:tc>
        <w:tc>
          <w:tcPr>
            <w:tcW w:w="1291" w:type="pct"/>
            <w:vMerge w:val="restar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检验数据填报错误</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定量限</w:t>
            </w:r>
            <w:r>
              <w:rPr>
                <w:rStyle w:val="9"/>
                <w:rFonts w:eastAsia="仿宋_GB2312"/>
                <w:sz w:val="21"/>
                <w:szCs w:val="21"/>
                <w:lang w:bidi="ar"/>
              </w:rPr>
              <w:t>/</w:t>
            </w:r>
            <w:r>
              <w:rPr>
                <w:rStyle w:val="10"/>
                <w:rFonts w:hAnsi="宋体"/>
                <w:sz w:val="21"/>
                <w:szCs w:val="21"/>
                <w:lang w:bidi="ar"/>
              </w:rPr>
              <w:t>检出限表示问题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检验结果表示问题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检验结果单位问题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检验项目表示问题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330" w:hRule="atLeast"/>
        </w:trPr>
        <w:tc>
          <w:tcPr>
            <w:tcW w:w="432" w:type="pct"/>
            <w:vMerge w:val="continue"/>
            <w:tcBorders>
              <w:top w:val="single" w:color="000000" w:sz="8" w:space="0"/>
              <w:left w:val="single" w:color="000000" w:sz="8" w:space="0"/>
              <w:bottom w:val="single" w:color="000000" w:sz="8" w:space="0"/>
              <w:right w:val="single" w:color="000000" w:sz="8" w:space="0"/>
            </w:tcBorders>
            <w:noWrap/>
            <w:vAlign w:val="center"/>
          </w:tcPr>
          <w:p>
            <w:pPr>
              <w:jc w:val="center"/>
              <w:rPr>
                <w:color w:val="000000"/>
                <w:szCs w:val="21"/>
              </w:rPr>
            </w:pPr>
          </w:p>
        </w:tc>
        <w:tc>
          <w:tcPr>
            <w:tcW w:w="1291" w:type="pct"/>
            <w:vMerge w:val="continue"/>
            <w:tcBorders>
              <w:top w:val="single" w:color="000000" w:sz="8" w:space="0"/>
              <w:left w:val="nil"/>
              <w:bottom w:val="single" w:color="000000" w:sz="8" w:space="0"/>
              <w:right w:val="single" w:color="000000" w:sz="8" w:space="0"/>
            </w:tcBorders>
            <w:noWrap/>
            <w:vAlign w:val="center"/>
          </w:tcPr>
          <w:p>
            <w:pPr>
              <w:rPr>
                <w:rFonts w:ascii="仿宋_GB2312" w:hAnsi="宋体" w:eastAsia="仿宋_GB2312" w:cs="仿宋_GB2312"/>
                <w:color w:val="000000"/>
                <w:szCs w:val="21"/>
              </w:rPr>
            </w:pP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多检、漏检项目问题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1</w:t>
            </w:r>
            <w:r>
              <w:rPr>
                <w:rStyle w:val="10"/>
                <w:rFonts w:hAnsi="宋体"/>
                <w:sz w:val="21"/>
                <w:szCs w:val="21"/>
                <w:lang w:bidi="ar"/>
              </w:rPr>
              <w:t>分</w:t>
            </w:r>
          </w:p>
        </w:tc>
      </w:tr>
      <w:tr>
        <w:tblPrEx>
          <w:tblCellMar>
            <w:top w:w="0" w:type="dxa"/>
            <w:left w:w="108" w:type="dxa"/>
            <w:bottom w:w="0" w:type="dxa"/>
            <w:right w:w="108" w:type="dxa"/>
          </w:tblCellMar>
        </w:tblPrEx>
        <w:trPr>
          <w:trHeight w:val="585" w:hRule="atLeast"/>
        </w:trPr>
        <w:tc>
          <w:tcPr>
            <w:tcW w:w="432"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7</w:t>
            </w:r>
          </w:p>
        </w:tc>
        <w:tc>
          <w:tcPr>
            <w:tcW w:w="1291" w:type="pct"/>
            <w:tcBorders>
              <w:top w:val="single" w:color="000000" w:sz="8" w:space="0"/>
              <w:left w:val="nil"/>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样品照片问题</w:t>
            </w:r>
          </w:p>
        </w:tc>
        <w:tc>
          <w:tcPr>
            <w:tcW w:w="1720"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缺少照片、照片不能反映真实情况或照片不清晰问题</w:t>
            </w:r>
          </w:p>
        </w:tc>
        <w:tc>
          <w:tcPr>
            <w:tcW w:w="1556" w:type="pct"/>
            <w:tcBorders>
              <w:top w:val="nil"/>
              <w:left w:val="nil"/>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r>
        <w:tblPrEx>
          <w:tblCellMar>
            <w:top w:w="0" w:type="dxa"/>
            <w:left w:w="108" w:type="dxa"/>
            <w:bottom w:w="0" w:type="dxa"/>
            <w:right w:w="108" w:type="dxa"/>
          </w:tblCellMar>
        </w:tblPrEx>
        <w:trPr>
          <w:trHeight w:val="350" w:hRule="atLeast"/>
        </w:trPr>
        <w:tc>
          <w:tcPr>
            <w:tcW w:w="432"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color w:val="000000"/>
                <w:szCs w:val="21"/>
              </w:rPr>
            </w:pPr>
            <w:r>
              <w:rPr>
                <w:color w:val="000000"/>
                <w:kern w:val="0"/>
                <w:szCs w:val="21"/>
                <w:lang w:bidi="ar"/>
              </w:rPr>
              <w:t>8</w:t>
            </w:r>
          </w:p>
        </w:tc>
        <w:tc>
          <w:tcPr>
            <w:tcW w:w="3011" w:type="pct"/>
            <w:gridSpan w:val="2"/>
            <w:tcBorders>
              <w:top w:val="single" w:color="000000" w:sz="8" w:space="0"/>
              <w:left w:val="single" w:color="000000" w:sz="8" w:space="0"/>
              <w:bottom w:val="single" w:color="000000" w:sz="8" w:space="0"/>
              <w:right w:val="single" w:color="000000" w:sz="8" w:space="0"/>
            </w:tcBorders>
            <w:noWrap/>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其他问题（可酌情扣分）</w:t>
            </w:r>
          </w:p>
        </w:tc>
        <w:tc>
          <w:tcPr>
            <w:tcW w:w="1556" w:type="pct"/>
            <w:tcBorders>
              <w:top w:val="single" w:color="000000" w:sz="8" w:space="0"/>
              <w:left w:val="single" w:color="000000" w:sz="8" w:space="0"/>
              <w:bottom w:val="single" w:color="000000" w:sz="8" w:space="0"/>
              <w:right w:val="single" w:color="000000" w:sz="8" w:space="0"/>
            </w:tcBorders>
            <w:noWrap w:val="0"/>
            <w:vAlign w:val="center"/>
          </w:tcPr>
          <w:p>
            <w:pPr>
              <w:widowControl/>
              <w:textAlignment w:val="center"/>
              <w:rPr>
                <w:rFonts w:ascii="仿宋_GB2312" w:hAnsi="宋体" w:eastAsia="仿宋_GB2312" w:cs="仿宋_GB2312"/>
                <w:color w:val="000000"/>
                <w:szCs w:val="21"/>
              </w:rPr>
            </w:pPr>
            <w:r>
              <w:rPr>
                <w:rFonts w:ascii="仿宋_GB2312" w:hAnsi="宋体" w:eastAsia="仿宋_GB2312" w:cs="仿宋_GB2312"/>
                <w:color w:val="000000"/>
                <w:kern w:val="0"/>
                <w:szCs w:val="21"/>
                <w:lang w:bidi="ar"/>
              </w:rPr>
              <w:t>每出现一例扣</w:t>
            </w:r>
            <w:r>
              <w:rPr>
                <w:rStyle w:val="9"/>
                <w:rFonts w:eastAsia="仿宋_GB2312"/>
                <w:sz w:val="21"/>
                <w:szCs w:val="21"/>
                <w:lang w:bidi="ar"/>
              </w:rPr>
              <w:t>0.5</w:t>
            </w:r>
            <w:r>
              <w:rPr>
                <w:rStyle w:val="10"/>
                <w:rFonts w:hAnsi="宋体"/>
                <w:sz w:val="21"/>
                <w:szCs w:val="21"/>
                <w:lang w:bidi="ar"/>
              </w:rPr>
              <w:t>分</w:t>
            </w:r>
          </w:p>
        </w:tc>
      </w:tr>
    </w:tbl>
    <w:p>
      <w:pPr>
        <w:pStyle w:val="3"/>
        <w:rPr>
          <w:rFonts w:hint="eastAsia"/>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（二）结果上报及公示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省局食品抽检监测秘书处对得分进行复核后上报省局抽检监测处。数据抽查评分每月进行，年度取平均值，作为承检机构数据抽查年度考核得分，省局食品抽检监测处将定期对数据抽查结果进行通报。</w:t>
      </w:r>
    </w:p>
    <w:p>
      <w:pPr>
        <w:pStyle w:val="3"/>
        <w:rPr>
          <w:rFonts w:hint="eastAsia"/>
        </w:rPr>
      </w:pP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六、问题处置</w:t>
      </w:r>
    </w:p>
    <w:p>
      <w:pPr>
        <w:numPr>
          <w:ilvl w:val="0"/>
          <w:numId w:val="1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对于在数据抽查工作中出现严重问题的承检机构，省局食品抽检监测处将采取约谈方式；</w:t>
      </w:r>
    </w:p>
    <w:p>
      <w:pPr>
        <w:numPr>
          <w:ilvl w:val="0"/>
          <w:numId w:val="1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当发现不同承检机构的抽检数据存在共性问题时，秘书处向承检机构发问题提示函，并且必要时制定相关抽检管理方法，细化抽检工作要求；</w:t>
      </w:r>
    </w:p>
    <w:p>
      <w:pPr>
        <w:numPr>
          <w:ilvl w:val="0"/>
          <w:numId w:val="1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省局食品抽检监测处将定期召开数据抽查情况通报会，公布各承检机构数据抽查情况；</w:t>
      </w:r>
    </w:p>
    <w:p>
      <w:pPr>
        <w:numPr>
          <w:ilvl w:val="0"/>
          <w:numId w:val="1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承检机构在数据抽查被查出的问题，将按照《安徽省食品安全承检机构管理办法》进行处理。</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七、工作纪律要求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机构或相关人员要高度重视数据抽查工作，在核查过程确保数据保密，安排人员按时按质按量完成收到的被抽样数据抽查。数据的问题发现率不能低于国家级抽检监测统计分析模块中平均水平，如果同一批次数据抽查被总局核查出有问题而牵头机构或相关人员未发现该问题，省局食品抽检监测处将会约谈牵头单位主要负责人。</w:t>
      </w:r>
    </w:p>
    <w:p>
      <w:pPr>
        <w:spacing w:line="640" w:lineRule="exact"/>
        <w:jc w:val="center"/>
        <w:rPr>
          <w:rFonts w:hint="eastAsia" w:ascii="方正小标宋简体" w:hAnsi="方正小标宋简体" w:eastAsia="方正小标宋简体" w:cs="方正小标宋简体"/>
          <w:bCs/>
          <w:sz w:val="44"/>
          <w:szCs w:val="44"/>
        </w:rPr>
      </w:pPr>
    </w:p>
    <w:p>
      <w:pPr>
        <w:ind w:firstLine="640" w:firstLineChars="200"/>
        <w:rPr>
          <w:rFonts w:hint="eastAsia" w:ascii="仿宋_GB2312" w:hAnsi="仿宋_GB2312" w:eastAsia="仿宋_GB2312" w:cs="仿宋_GB2312"/>
          <w:sz w:val="32"/>
          <w:szCs w:val="32"/>
        </w:rPr>
      </w:pPr>
    </w:p>
    <w:p>
      <w:pPr>
        <w:rPr>
          <w:rFonts w:ascii="仿宋_GB2312" w:hAnsi="仿宋_GB2312" w:eastAsia="仿宋_GB2312" w:cs="仿宋_GB2312"/>
          <w:sz w:val="32"/>
          <w:szCs w:val="32"/>
        </w:rPr>
        <w:sectPr>
          <w:pgSz w:w="11906" w:h="16838"/>
          <w:pgMar w:top="2098" w:right="1474" w:bottom="1984" w:left="1588" w:header="851" w:footer="992" w:gutter="0"/>
          <w:pgNumType w:fmt="numberInDash"/>
          <w:cols w:space="720" w:num="1"/>
          <w:docGrid w:type="lines" w:linePitch="312" w:charSpace="0"/>
        </w:sectPr>
      </w:pPr>
      <w:r>
        <w:rPr>
          <w:rFonts w:hint="eastAsia" w:ascii="仿宋_GB2312" w:hAnsi="仿宋_GB2312" w:eastAsia="仿宋_GB2312" w:cs="仿宋_GB2312"/>
          <w:sz w:val="32"/>
          <w:szCs w:val="32"/>
        </w:rPr>
        <w:t>附件：省级食品安全抽检监测数据抽查明细表</w:t>
      </w:r>
    </w:p>
    <w:p>
      <w:pPr>
        <w:rPr>
          <w:rFonts w:hint="eastAsia" w:ascii="黑体" w:hAnsi="黑体" w:eastAsia="黑体" w:cs="黑体"/>
          <w:sz w:val="32"/>
          <w:szCs w:val="32"/>
        </w:rPr>
      </w:pPr>
      <w:r>
        <w:rPr>
          <w:rFonts w:hint="eastAsia" w:ascii="黑体" w:hAnsi="黑体" w:eastAsia="黑体" w:cs="黑体"/>
          <w:sz w:val="32"/>
          <w:szCs w:val="32"/>
        </w:rPr>
        <w:t>附件</w:t>
      </w:r>
    </w:p>
    <w:p>
      <w:pPr>
        <w:ind w:firstLine="1760" w:firstLineChars="4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省级食品安全抽检监测数据抽查明细表</w:t>
      </w:r>
    </w:p>
    <w:p>
      <w:pPr>
        <w:rPr>
          <w:rFonts w:ascii="楷体_GB2312" w:hAnsi="楷体_GB2312" w:eastAsia="楷体_GB2312" w:cs="楷体_GB2312"/>
          <w:sz w:val="32"/>
          <w:szCs w:val="32"/>
        </w:rPr>
      </w:pPr>
      <w:r>
        <w:rPr>
          <w:rFonts w:hint="eastAsia" w:ascii="楷体_GB2312" w:hAnsi="楷体_GB2312" w:eastAsia="楷体_GB2312" w:cs="楷体_GB2312"/>
          <w:sz w:val="32"/>
          <w:szCs w:val="32"/>
        </w:rPr>
        <w:t>负责单位：                                                      抽查月份：</w:t>
      </w:r>
    </w:p>
    <w:tbl>
      <w:tblPr>
        <w:tblStyle w:val="7"/>
        <w:tblW w:w="4996" w:type="pct"/>
        <w:tblInd w:w="0" w:type="dxa"/>
        <w:tblLayout w:type="autofit"/>
        <w:tblCellMar>
          <w:top w:w="0" w:type="dxa"/>
          <w:left w:w="108" w:type="dxa"/>
          <w:bottom w:w="0" w:type="dxa"/>
          <w:right w:w="108" w:type="dxa"/>
        </w:tblCellMar>
      </w:tblPr>
      <w:tblGrid>
        <w:gridCol w:w="730"/>
        <w:gridCol w:w="1648"/>
        <w:gridCol w:w="1306"/>
        <w:gridCol w:w="1663"/>
        <w:gridCol w:w="2252"/>
        <w:gridCol w:w="1734"/>
        <w:gridCol w:w="2388"/>
        <w:gridCol w:w="2442"/>
      </w:tblGrid>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序号</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检验机构名称</w:t>
            </w:r>
          </w:p>
        </w:tc>
        <w:tc>
          <w:tcPr>
            <w:tcW w:w="46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抽样编号</w:t>
            </w: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食品大类</w:t>
            </w:r>
          </w:p>
        </w:tc>
        <w:tc>
          <w:tcPr>
            <w:tcW w:w="795"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食品细类</w:t>
            </w:r>
          </w:p>
        </w:tc>
        <w:tc>
          <w:tcPr>
            <w:tcW w:w="61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样品名称</w:t>
            </w: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问题情况</w:t>
            </w: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问题类别</w:t>
            </w:r>
          </w:p>
        </w:tc>
      </w:tr>
      <w:tr>
        <w:tblPrEx>
          <w:tblCellMar>
            <w:top w:w="0" w:type="dxa"/>
            <w:left w:w="108" w:type="dxa"/>
            <w:bottom w:w="0" w:type="dxa"/>
            <w:right w:w="108" w:type="dxa"/>
          </w:tblCellMar>
        </w:tblPrEx>
        <w:trPr>
          <w:trHeight w:val="24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4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4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4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7</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8</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9</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2"/>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270" w:hRule="atLeast"/>
        </w:trPr>
        <w:tc>
          <w:tcPr>
            <w:tcW w:w="258"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10</w:t>
            </w:r>
          </w:p>
        </w:tc>
        <w:tc>
          <w:tcPr>
            <w:tcW w:w="5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c>
          <w:tcPr>
            <w:tcW w:w="461"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587"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795"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612" w:type="pct"/>
            <w:tcBorders>
              <w:top w:val="single" w:color="000000" w:sz="4" w:space="0"/>
              <w:left w:val="single" w:color="000000" w:sz="4" w:space="0"/>
              <w:bottom w:val="single" w:color="000000" w:sz="4" w:space="0"/>
              <w:right w:val="single" w:color="000000" w:sz="4" w:space="0"/>
            </w:tcBorders>
            <w:noWrap/>
            <w:vAlign w:val="bottom"/>
          </w:tcPr>
          <w:p>
            <w:pPr>
              <w:jc w:val="center"/>
              <w:rPr>
                <w:rFonts w:hint="eastAsia" w:ascii="宋体" w:hAnsi="宋体" w:cs="宋体"/>
                <w:color w:val="000000"/>
                <w:sz w:val="20"/>
                <w:szCs w:val="20"/>
              </w:rPr>
            </w:pPr>
          </w:p>
        </w:tc>
        <w:tc>
          <w:tcPr>
            <w:tcW w:w="843" w:type="pct"/>
            <w:tcBorders>
              <w:top w:val="single" w:color="000000" w:sz="4" w:space="0"/>
              <w:left w:val="single" w:color="000000" w:sz="4" w:space="0"/>
              <w:bottom w:val="single" w:color="000000" w:sz="4" w:space="0"/>
              <w:right w:val="single" w:color="000000" w:sz="4" w:space="0"/>
            </w:tcBorders>
            <w:noWrap w:val="0"/>
            <w:vAlign w:val="bottom"/>
          </w:tcPr>
          <w:p>
            <w:pPr>
              <w:jc w:val="left"/>
              <w:rPr>
                <w:rFonts w:hint="eastAsia" w:ascii="宋体" w:hAnsi="宋体" w:cs="宋体"/>
                <w:color w:val="000000"/>
                <w:sz w:val="20"/>
                <w:szCs w:val="20"/>
              </w:rPr>
            </w:pPr>
          </w:p>
        </w:tc>
        <w:tc>
          <w:tcPr>
            <w:tcW w:w="85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 w:val="20"/>
                <w:szCs w:val="20"/>
              </w:rPr>
            </w:pPr>
          </w:p>
        </w:tc>
      </w:tr>
      <w:tr>
        <w:tblPrEx>
          <w:tblCellMar>
            <w:top w:w="0" w:type="dxa"/>
            <w:left w:w="108" w:type="dxa"/>
            <w:bottom w:w="0" w:type="dxa"/>
            <w:right w:w="108" w:type="dxa"/>
          </w:tblCellMar>
        </w:tblPrEx>
        <w:trPr>
          <w:trHeight w:val="614" w:hRule="atLeast"/>
        </w:trPr>
        <w:tc>
          <w:tcPr>
            <w:tcW w:w="5000" w:type="pct"/>
            <w:gridSpan w:val="8"/>
            <w:tcBorders>
              <w:top w:val="single" w:color="000000" w:sz="4" w:space="0"/>
              <w:left w:val="single" w:color="000000" w:sz="4" w:space="0"/>
              <w:bottom w:val="single" w:color="000000" w:sz="4" w:space="0"/>
              <w:right w:val="single" w:color="000000" w:sz="4" w:space="0"/>
            </w:tcBorders>
            <w:noWrap w:val="0"/>
            <w:vAlign w:val="top"/>
          </w:tcPr>
          <w:p>
            <w:pPr>
              <w:widowControl/>
              <w:textAlignment w:val="top"/>
              <w:rPr>
                <w:rStyle w:val="11"/>
                <w:rFonts w:hint="default"/>
                <w:lang w:bidi="ar"/>
              </w:rPr>
            </w:pPr>
            <w:r>
              <w:rPr>
                <w:rFonts w:hint="eastAsia" w:ascii="宋体" w:hAnsi="宋体" w:cs="宋体"/>
                <w:color w:val="000000"/>
                <w:kern w:val="0"/>
                <w:szCs w:val="21"/>
                <w:lang w:bidi="ar"/>
              </w:rPr>
              <w:t>注：</w:t>
            </w:r>
            <w:r>
              <w:rPr>
                <w:rStyle w:val="11"/>
                <w:rFonts w:hint="default"/>
                <w:lang w:bidi="ar"/>
              </w:rPr>
              <w:t>（1）问题情况填写说明：填写数据抽查评分细则表格中所列问题具体情况。</w:t>
            </w:r>
          </w:p>
          <w:p>
            <w:pPr>
              <w:widowControl/>
              <w:textAlignment w:val="top"/>
              <w:rPr>
                <w:rFonts w:hint="eastAsia" w:ascii="宋体" w:hAnsi="宋体" w:cs="宋体"/>
                <w:color w:val="000000"/>
                <w:szCs w:val="21"/>
              </w:rPr>
            </w:pPr>
            <w:r>
              <w:rPr>
                <w:rStyle w:val="11"/>
                <w:rFonts w:hint="default"/>
                <w:lang w:bidi="ar"/>
              </w:rPr>
              <w:t xml:space="preserve">    （2）问</w:t>
            </w:r>
            <w:r>
              <w:rPr>
                <w:rFonts w:hint="eastAsia" w:ascii="宋体" w:hAnsi="宋体" w:cs="宋体"/>
                <w:color w:val="000000"/>
                <w:kern w:val="0"/>
                <w:szCs w:val="21"/>
                <w:lang w:bidi="ar"/>
              </w:rPr>
              <w:t>题类别填写</w:t>
            </w:r>
            <w:r>
              <w:rPr>
                <w:rStyle w:val="11"/>
                <w:rFonts w:hint="default"/>
                <w:lang w:bidi="ar"/>
              </w:rPr>
              <w:t>说明</w:t>
            </w:r>
            <w:r>
              <w:rPr>
                <w:rFonts w:hint="eastAsia" w:ascii="宋体" w:hAnsi="宋体" w:cs="宋体"/>
                <w:color w:val="000000"/>
                <w:kern w:val="0"/>
                <w:szCs w:val="21"/>
                <w:lang w:bidi="ar"/>
              </w:rPr>
              <w:t>：填写数据抽查评分细则表格中所列数据质量问题类型。</w:t>
            </w:r>
          </w:p>
        </w:tc>
      </w:tr>
    </w:tbl>
    <w:p>
      <w:pPr>
        <w:pStyle w:val="3"/>
        <w:rPr>
          <w:color w:val="000000"/>
        </w:rPr>
        <w:sectPr>
          <w:pgSz w:w="16838" w:h="11906" w:orient="landscape"/>
          <w:pgMar w:top="1800" w:right="1440" w:bottom="1800" w:left="1440" w:header="851" w:footer="992" w:gutter="0"/>
          <w:pgNumType w:fmt="numberInDash"/>
          <w:cols w:space="720" w:num="1"/>
          <w:docGrid w:type="lines" w:linePitch="312" w:charSpace="0"/>
        </w:sectPr>
      </w:pPr>
    </w:p>
    <w:p>
      <w:pPr>
        <w:jc w:val="left"/>
        <w:rPr>
          <w:rFonts w:hint="eastAsia" w:ascii="黑体" w:hAnsi="黑体" w:eastAsia="黑体" w:cs="黑体"/>
          <w:sz w:val="32"/>
          <w:szCs w:val="32"/>
        </w:rPr>
      </w:pPr>
      <w:r>
        <w:rPr>
          <w:rFonts w:hint="eastAsia" w:ascii="黑体" w:hAnsi="黑体" w:eastAsia="黑体" w:cs="黑体"/>
          <w:sz w:val="32"/>
          <w:szCs w:val="32"/>
        </w:rPr>
        <w:t>附件5</w:t>
      </w:r>
    </w:p>
    <w:p>
      <w:pPr>
        <w:pStyle w:val="3"/>
        <w:rPr>
          <w:rFonts w:ascii="Calibri" w:hAnsi="Calibri"/>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合格样品复核工作方案</w:t>
      </w:r>
    </w:p>
    <w:p>
      <w:pPr>
        <w:rPr>
          <w:rFonts w:hint="eastAsia" w:ascii="华文仿宋" w:hAnsi="华文仿宋" w:eastAsia="华文仿宋"/>
          <w:sz w:val="28"/>
          <w:szCs w:val="28"/>
        </w:rPr>
      </w:pP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1.时间安排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承检机构任务开始后不定期实施。</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kern w:val="0"/>
          <w:sz w:val="32"/>
          <w:szCs w:val="32"/>
        </w:rPr>
        <w:t xml:space="preserve"> 前期准备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 确定合格样品复核机构及最终</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w:t>
      </w:r>
    </w:p>
    <w:p>
      <w:pPr>
        <w:pStyle w:val="3"/>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秘书处提出制样机构、复核机构及最终</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机构名单，报送省局抽检处审核。</w:t>
      </w:r>
    </w:p>
    <w:p>
      <w:pPr>
        <w:ind w:firstLine="640" w:firstLineChars="200"/>
        <w:rPr>
          <w:rFonts w:hint="eastAsia" w:ascii="宋体" w:hAnsi="宋体"/>
          <w:sz w:val="28"/>
          <w:szCs w:val="28"/>
        </w:rPr>
      </w:pPr>
      <w:r>
        <w:rPr>
          <w:rFonts w:hint="eastAsia" w:ascii="仿宋_GB2312" w:hAnsi="仿宋_GB2312" w:eastAsia="仿宋_GB2312" w:cs="仿宋_GB2312"/>
          <w:sz w:val="32"/>
          <w:szCs w:val="32"/>
        </w:rPr>
        <w:t>2.2复核样品调取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秘书处根据安排从相关机构调取合格样品至制样机构，制样机构按照要求制样，并妥善保存制备样品。</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3.考核要求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每次合格样品</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检验，应从每家承检机构至少调取3批次安徽省食品安全抽样检验任务中的合格样品（特殊样品除外）。对同时承担多包任务的承检机构，应根据中标情况至少从每包任务调取1 批次合格样品。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确定合格样品复核检验项目时，应综合考虑样品均匀性、风险程度、不合格率与样品分装需求等情况。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合格样品复核检验应采用《国家食品安全监督抽检实施细则》规定的检验方法。《国家食品安全监督抽检实施细则》规定了多个检验方法时，应釆用承检机构使用的检验方法。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3.4结果偏差限值</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不同检验项目</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结果与初检结果偏差的最高限值按照检验方法中的三倍精密度或相对偏差来制定，并列入考核方案。</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4.1制定复核方案</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秘书处应在每次合格样品复核检验前制定复核方案，方案应包括复核样品、项目、复核时间等内容。复核可结合现场检查同时开展。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4.2调取样品</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调取样品时，应向承检机构出具合格样品调取通知文件。复核样品由承检机构按通知要求送至制样机构，运输过程应符合样品储运条件。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4.3样品接收、处理和分发</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制样机构收到样品后，应及时核对样品信息、检查样品运输条件及样品状态，确认无误后办理样品接收手续。样品存在问题无法接收的，应立即联系承检机构退回并重新调取样品。</w:t>
      </w:r>
    </w:p>
    <w:p>
      <w:pPr>
        <w:pStyle w:val="3"/>
        <w:ind w:firstLine="640"/>
        <w:rPr>
          <w:rFonts w:hint="eastAsia" w:eastAsia="仿宋_GB2312"/>
        </w:rPr>
      </w:pPr>
      <w:r>
        <w:rPr>
          <w:rFonts w:hint="eastAsia" w:ascii="仿宋_GB2312" w:hAnsi="仿宋_GB2312" w:eastAsia="仿宋_GB2312" w:cs="仿宋_GB2312"/>
          <w:sz w:val="32"/>
          <w:szCs w:val="32"/>
        </w:rPr>
        <w:t>制样机构确认样品正常后，按照标准方法开始制样，分装，然后由秘书处贴上盲样编码，按照复核方案分配给复核机构检验。</w:t>
      </w:r>
    </w:p>
    <w:p>
      <w:pPr>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4.4样品</w:t>
      </w:r>
      <w:r>
        <w:rPr>
          <w:rFonts w:hint="eastAsia" w:ascii="仿宋_GB2312" w:hAnsi="仿宋_GB2312" w:eastAsia="仿宋_GB2312" w:cs="仿宋_GB2312"/>
          <w:sz w:val="32"/>
          <w:szCs w:val="32"/>
          <w:lang w:val="en-US" w:eastAsia="zh-CN"/>
        </w:rPr>
        <w:t>复核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机构依照复核方案中规定的项目对合格样品进行检验，在规定时间内将检验结果报送至秘书处。</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机构应将检验剩佘的样品与原始记录妥善保存备查。若</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结果与承检机构的初检结果之间的偏差超过限值的，秘书处将样品送至</w:t>
      </w:r>
      <w:r>
        <w:rPr>
          <w:rFonts w:hint="eastAsia" w:ascii="仿宋_GB2312" w:hAnsi="仿宋_GB2312" w:eastAsia="仿宋_GB2312" w:cs="仿宋_GB2312"/>
          <w:sz w:val="32"/>
          <w:szCs w:val="32"/>
          <w:lang w:val="en-US" w:eastAsia="zh-CN"/>
        </w:rPr>
        <w:t>其他复核</w:t>
      </w:r>
      <w:r>
        <w:rPr>
          <w:rFonts w:hint="eastAsia" w:ascii="仿宋_GB2312" w:hAnsi="仿宋_GB2312" w:eastAsia="仿宋_GB2312" w:cs="仿宋_GB2312"/>
          <w:sz w:val="32"/>
          <w:szCs w:val="32"/>
        </w:rPr>
        <w:t>机构进行复核。两次复验结果不一致的，由省局食品抽检处指定政府检验机构进行检验，作为最终结论。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4.5复核报告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秘书处及时对合格样品复核检验结论进行汇总分析，并报送省局食品抽检处。</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5.结果判定</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5.1承检机构的初检结果与</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机构的检验结果之间的偏差在限值以内的，判定为通过。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5.2承检机构的初检结果与</w:t>
      </w:r>
      <w:r>
        <w:rPr>
          <w:rFonts w:hint="eastAsia" w:ascii="仿宋_GB2312" w:hAnsi="仿宋_GB2312" w:eastAsia="仿宋_GB2312" w:cs="仿宋_GB2312"/>
          <w:sz w:val="32"/>
          <w:szCs w:val="32"/>
          <w:lang w:val="en-US" w:eastAsia="zh-CN"/>
        </w:rPr>
        <w:t>复核</w:t>
      </w:r>
      <w:r>
        <w:rPr>
          <w:rFonts w:hint="eastAsia" w:ascii="仿宋_GB2312" w:hAnsi="仿宋_GB2312" w:eastAsia="仿宋_GB2312" w:cs="仿宋_GB2312"/>
          <w:sz w:val="32"/>
          <w:szCs w:val="32"/>
        </w:rPr>
        <w:t>机构的检验结果之间的偏差均超过限值的，判定为不通过。</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6.1对通过合格样品复核检验但存在问题风险的，省局食品抽检处通知承检机构应当针对相关问题开展全面自查，限期整改并报告。</w:t>
      </w:r>
    </w:p>
    <w:p>
      <w:pPr>
        <w:ind w:firstLine="640" w:firstLineChars="200"/>
      </w:pPr>
      <w:r>
        <w:rPr>
          <w:rFonts w:hint="eastAsia" w:ascii="仿宋_GB2312" w:hAnsi="仿宋_GB2312" w:eastAsia="仿宋_GB2312" w:cs="仿宋_GB2312"/>
          <w:sz w:val="32"/>
          <w:szCs w:val="32"/>
        </w:rPr>
        <w:t>6.2对未通过合格样品复核检验的承检机构，按照《安徽省食品安全承检机构考核管理办法》规定进行处理。</w:t>
      </w: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pStyle w:val="3"/>
        <w:rPr>
          <w:color w:val="000000"/>
        </w:rPr>
      </w:pPr>
    </w:p>
    <w:p>
      <w:pPr>
        <w:jc w:val="left"/>
        <w:rPr>
          <w:rFonts w:hint="eastAsia" w:ascii="黑体" w:hAnsi="黑体" w:eastAsia="黑体" w:cs="黑体"/>
          <w:sz w:val="32"/>
          <w:szCs w:val="32"/>
        </w:rPr>
      </w:pPr>
      <w:r>
        <w:rPr>
          <w:rFonts w:hint="eastAsia" w:ascii="黑体" w:hAnsi="黑体" w:eastAsia="黑体" w:cs="黑体"/>
          <w:sz w:val="32"/>
          <w:szCs w:val="32"/>
        </w:rPr>
        <w:t>附件6</w:t>
      </w:r>
    </w:p>
    <w:p>
      <w:pPr>
        <w:pStyle w:val="3"/>
        <w:rPr>
          <w:rFonts w:ascii="Calibri" w:hAnsi="Calibri"/>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安徽省食品安全承检机构盲样测试考核工作</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rPr>
          <w:rFonts w:hint="eastAsia" w:ascii="仿宋_GB2312" w:hAnsi="仿宋_GB2312" w:eastAsia="仿宋_GB2312" w:cs="仿宋_GB2312"/>
          <w:sz w:val="28"/>
          <w:szCs w:val="28"/>
        </w:rPr>
      </w:pP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1.工作目的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为规范安徽省食品安全承检机构盲样测试考核工作，根据 《食品安全抽样检验管理办法》、《安徽省食品安全抽样检验承检机构考核管理办法》等相关规定，制定本细则。</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2.职责分工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2.1省局食品抽检处负责盲样测试考核的组织管理工作。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2.2安徽省食品安全抽检监测工作秘书处（以下简称“秘书处”）负责盲样测试考核方案的制定、考核项目的确定、盲样准备及发放、考核结果收集及评价等考核组织实施工作。</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3.考核要求</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3.1考核项目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盲样测试考核项目应为当年《安徽省食品安全监督抽检实施细则》所覆盖的检测项目。确定盲样测试考核项目时应重点考虑食品安全风险较高的检验项目。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3.2盲样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各考核项目应有多个浓度水平的样品。样品应进行随机编盲并粘贴标签，标签上包含项目名称和样品流水号，不含组别信息。</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3.3检测方法</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盲样测试考核项目检测应选择《国家食品安全监督抽检实施细则》中规定的检验方法。</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4.程序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4.1制定考核方案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秘书处应在每次盲样测试考核前制定考核方案，包括考核项目、考核对象、考核时间等。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4.2盲样发放和检测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可委托中标的盲样考核实施机构将考核文件、盲样和作业指导书寄送至被考核的承检机构，寄送过程应符合盲样储存要求。秘书处告知参加盲样考核的承检机构按照作业指导书，在规定时间内完成检测，并将检测结果和检验原始记录加盖公章后提交秘书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4.3结果评价</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承检机构的检测结果，秘书处根据考核方案确定承检机构盲样测试考核的结论。盲样测试考核结论分为通过和不通过。未能在规定时间内完成检测，或未按要求提交检测结果和检验原始记录的承检机构，盲样测试考核结论为不通过。承检机构之间不得串通数据，一经发现，按照盲样测试考核不通过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4.4考核反馈</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秘书处及时将考核结论告知参加盲样测试考核的承检机构。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4.5补测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秘书处负责组织对未通过盲样测试考核的承检机构进行补测，补测项目与考核初考未通过项目一致。</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4.6考核报告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秘书处及时对各承检机构盲样测试检测结果进行汇总分析，并将相关情况报送省局食品抽检处。</w:t>
      </w:r>
    </w:p>
    <w:p>
      <w:pPr>
        <w:spacing w:line="580" w:lineRule="exact"/>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5.处理</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5.1秘书处将考核情况通报参加盲样测试考核的承检机构。</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5.2对未通过盲样测试考核初考的承检机构，秘书处通知承检机构针对相关问题开展全面自查，限期整改并报告。</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5.3对未通过盲样测试考核补测的，或逾期未申请盲样测试考核补测的承检机构，按照《安徽省食品安全承检机构考核管理办法》规定进行处理。</w:t>
      </w:r>
    </w:p>
    <w:p>
      <w:pPr>
        <w:spacing w:line="580" w:lineRule="exact"/>
        <w:ind w:firstLine="640" w:firstLineChars="200"/>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00"/>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D65B7A"/>
    <w:multiLevelType w:val="singleLevel"/>
    <w:tmpl w:val="86D65B7A"/>
    <w:lvl w:ilvl="0" w:tentative="0">
      <w:start w:val="1"/>
      <w:numFmt w:val="decimal"/>
      <w:lvlText w:val="%1."/>
      <w:lvlJc w:val="left"/>
      <w:pPr>
        <w:tabs>
          <w:tab w:val="left" w:pos="312"/>
        </w:tabs>
      </w:pPr>
    </w:lvl>
  </w:abstractNum>
  <w:abstractNum w:abstractNumId="1">
    <w:nsid w:val="88677882"/>
    <w:multiLevelType w:val="singleLevel"/>
    <w:tmpl w:val="88677882"/>
    <w:lvl w:ilvl="0" w:tentative="0">
      <w:start w:val="1"/>
      <w:numFmt w:val="chineseCounting"/>
      <w:suff w:val="nothing"/>
      <w:lvlText w:val="（%1）"/>
      <w:lvlJc w:val="left"/>
      <w:pPr>
        <w:ind w:left="148" w:firstLine="420"/>
      </w:pPr>
      <w:rPr>
        <w:rFonts w:hint="eastAsia"/>
        <w:lang w:val="en-US"/>
      </w:rPr>
    </w:lvl>
  </w:abstractNum>
  <w:abstractNum w:abstractNumId="2">
    <w:nsid w:val="9D11F689"/>
    <w:multiLevelType w:val="singleLevel"/>
    <w:tmpl w:val="9D11F689"/>
    <w:lvl w:ilvl="0" w:tentative="0">
      <w:start w:val="1"/>
      <w:numFmt w:val="chineseCounting"/>
      <w:suff w:val="nothing"/>
      <w:lvlText w:val="（%1）"/>
      <w:lvlJc w:val="left"/>
      <w:pPr>
        <w:ind w:left="0" w:firstLine="420"/>
      </w:pPr>
      <w:rPr>
        <w:rFonts w:hint="eastAsia"/>
      </w:rPr>
    </w:lvl>
  </w:abstractNum>
  <w:abstractNum w:abstractNumId="3">
    <w:nsid w:val="B25D4F72"/>
    <w:multiLevelType w:val="singleLevel"/>
    <w:tmpl w:val="B25D4F72"/>
    <w:lvl w:ilvl="0" w:tentative="0">
      <w:start w:val="1"/>
      <w:numFmt w:val="chineseCounting"/>
      <w:suff w:val="nothing"/>
      <w:lvlText w:val="（%1）"/>
      <w:lvlJc w:val="left"/>
      <w:rPr>
        <w:rFonts w:hint="eastAsia"/>
      </w:rPr>
    </w:lvl>
  </w:abstractNum>
  <w:abstractNum w:abstractNumId="4">
    <w:nsid w:val="B753FAAD"/>
    <w:multiLevelType w:val="singleLevel"/>
    <w:tmpl w:val="B753FAAD"/>
    <w:lvl w:ilvl="0" w:tentative="0">
      <w:start w:val="1"/>
      <w:numFmt w:val="chineseCounting"/>
      <w:suff w:val="nothing"/>
      <w:lvlText w:val="（%1）"/>
      <w:lvlJc w:val="left"/>
      <w:rPr>
        <w:rFonts w:hint="eastAsia"/>
      </w:rPr>
    </w:lvl>
  </w:abstractNum>
  <w:abstractNum w:abstractNumId="5">
    <w:nsid w:val="DAB21300"/>
    <w:multiLevelType w:val="singleLevel"/>
    <w:tmpl w:val="DAB21300"/>
    <w:lvl w:ilvl="0" w:tentative="0">
      <w:start w:val="1"/>
      <w:numFmt w:val="chineseCounting"/>
      <w:suff w:val="nothing"/>
      <w:lvlText w:val="（%1）"/>
      <w:lvlJc w:val="left"/>
      <w:rPr>
        <w:rFonts w:hint="eastAsia"/>
      </w:rPr>
    </w:lvl>
  </w:abstractNum>
  <w:abstractNum w:abstractNumId="6">
    <w:nsid w:val="DB940A82"/>
    <w:multiLevelType w:val="singleLevel"/>
    <w:tmpl w:val="DB940A82"/>
    <w:lvl w:ilvl="0" w:tentative="0">
      <w:start w:val="1"/>
      <w:numFmt w:val="chineseCounting"/>
      <w:suff w:val="nothing"/>
      <w:lvlText w:val="（%1）"/>
      <w:lvlJc w:val="left"/>
      <w:pPr>
        <w:ind w:left="0" w:firstLine="420"/>
      </w:pPr>
      <w:rPr>
        <w:rFonts w:hint="eastAsia"/>
      </w:rPr>
    </w:lvl>
  </w:abstractNum>
  <w:abstractNum w:abstractNumId="7">
    <w:nsid w:val="F5F464C9"/>
    <w:multiLevelType w:val="singleLevel"/>
    <w:tmpl w:val="F5F464C9"/>
    <w:lvl w:ilvl="0" w:tentative="0">
      <w:start w:val="1"/>
      <w:numFmt w:val="chineseCounting"/>
      <w:suff w:val="nothing"/>
      <w:lvlText w:val="（%1）"/>
      <w:lvlJc w:val="left"/>
      <w:rPr>
        <w:rFonts w:hint="eastAsia"/>
      </w:rPr>
    </w:lvl>
  </w:abstractNum>
  <w:abstractNum w:abstractNumId="8">
    <w:nsid w:val="00000007"/>
    <w:multiLevelType w:val="singleLevel"/>
    <w:tmpl w:val="00000007"/>
    <w:lvl w:ilvl="0" w:tentative="0">
      <w:start w:val="1"/>
      <w:numFmt w:val="chineseCounting"/>
      <w:suff w:val="nothing"/>
      <w:lvlText w:val="（%1）"/>
      <w:lvlJc w:val="left"/>
    </w:lvl>
  </w:abstractNum>
  <w:abstractNum w:abstractNumId="9">
    <w:nsid w:val="2625CFBA"/>
    <w:multiLevelType w:val="singleLevel"/>
    <w:tmpl w:val="2625CFBA"/>
    <w:lvl w:ilvl="0" w:tentative="0">
      <w:start w:val="1"/>
      <w:numFmt w:val="chineseCounting"/>
      <w:suff w:val="space"/>
      <w:lvlText w:val="第%1章"/>
      <w:lvlJc w:val="left"/>
      <w:rPr>
        <w:rFonts w:hint="eastAsia"/>
      </w:rPr>
    </w:lvl>
  </w:abstractNum>
  <w:abstractNum w:abstractNumId="10">
    <w:nsid w:val="348302D1"/>
    <w:multiLevelType w:val="singleLevel"/>
    <w:tmpl w:val="348302D1"/>
    <w:lvl w:ilvl="0" w:tentative="0">
      <w:start w:val="1"/>
      <w:numFmt w:val="chineseCounting"/>
      <w:suff w:val="nothing"/>
      <w:lvlText w:val="（%1）"/>
      <w:lvlJc w:val="left"/>
      <w:rPr>
        <w:rFonts w:hint="eastAsia"/>
      </w:rPr>
    </w:lvl>
  </w:abstractNum>
  <w:abstractNum w:abstractNumId="11">
    <w:nsid w:val="3EBE3A44"/>
    <w:multiLevelType w:val="singleLevel"/>
    <w:tmpl w:val="3EBE3A44"/>
    <w:lvl w:ilvl="0" w:tentative="0">
      <w:start w:val="1"/>
      <w:numFmt w:val="chineseCounting"/>
      <w:suff w:val="nothing"/>
      <w:lvlText w:val="（%1）"/>
      <w:lvlJc w:val="left"/>
    </w:lvl>
  </w:abstractNum>
  <w:abstractNum w:abstractNumId="12">
    <w:nsid w:val="52118834"/>
    <w:multiLevelType w:val="singleLevel"/>
    <w:tmpl w:val="52118834"/>
    <w:lvl w:ilvl="0" w:tentative="0">
      <w:start w:val="1"/>
      <w:numFmt w:val="chineseCounting"/>
      <w:suff w:val="nothing"/>
      <w:lvlText w:val="（%1）"/>
      <w:lvlJc w:val="left"/>
      <w:rPr>
        <w:rFonts w:hint="eastAsia"/>
      </w:rPr>
    </w:lvl>
  </w:abstractNum>
  <w:abstractNum w:abstractNumId="13">
    <w:nsid w:val="52FAD832"/>
    <w:multiLevelType w:val="singleLevel"/>
    <w:tmpl w:val="52FAD832"/>
    <w:lvl w:ilvl="0" w:tentative="0">
      <w:start w:val="1"/>
      <w:numFmt w:val="chineseCounting"/>
      <w:suff w:val="nothing"/>
      <w:lvlText w:val="（%1）"/>
      <w:lvlJc w:val="left"/>
      <w:rPr>
        <w:rFonts w:hint="eastAsia"/>
      </w:rPr>
    </w:lvl>
  </w:abstractNum>
  <w:num w:numId="1">
    <w:abstractNumId w:val="9"/>
  </w:num>
  <w:num w:numId="2">
    <w:abstractNumId w:val="1"/>
  </w:num>
  <w:num w:numId="3">
    <w:abstractNumId w:val="2"/>
  </w:num>
  <w:num w:numId="4">
    <w:abstractNumId w:val="6"/>
  </w:num>
  <w:num w:numId="5">
    <w:abstractNumId w:val="8"/>
  </w:num>
  <w:num w:numId="6">
    <w:abstractNumId w:val="11"/>
  </w:num>
  <w:num w:numId="7">
    <w:abstractNumId w:val="4"/>
  </w:num>
  <w:num w:numId="8">
    <w:abstractNumId w:val="10"/>
  </w:num>
  <w:num w:numId="9">
    <w:abstractNumId w:val="12"/>
  </w:num>
  <w:num w:numId="10">
    <w:abstractNumId w:val="13"/>
  </w:num>
  <w:num w:numId="11">
    <w:abstractNumId w:val="5"/>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4CEC"/>
    <w:rsid w:val="3DE326D2"/>
    <w:rsid w:val="7FFD4CEC"/>
    <w:rsid w:val="FDDFC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Body Text"/>
    <w:basedOn w:val="1"/>
    <w:qFormat/>
    <w:uiPriority w:val="0"/>
    <w:pPr>
      <w:jc w:val="center"/>
    </w:pPr>
    <w:rPr>
      <w:rFonts w:ascii="仿宋_GB2312" w:hAnsi="Times New Roman"/>
      <w:sz w:val="20"/>
      <w:szCs w:val="2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font21"/>
    <w:qFormat/>
    <w:uiPriority w:val="0"/>
    <w:rPr>
      <w:rFonts w:hint="default" w:ascii="Times New Roman" w:hAnsi="Times New Roman" w:cs="Times New Roman"/>
      <w:color w:val="000000"/>
      <w:sz w:val="24"/>
      <w:szCs w:val="24"/>
      <w:u w:val="none"/>
    </w:rPr>
  </w:style>
  <w:style w:type="character" w:customStyle="1" w:styleId="10">
    <w:name w:val="font31"/>
    <w:qFormat/>
    <w:uiPriority w:val="0"/>
    <w:rPr>
      <w:rFonts w:hint="default" w:ascii="仿宋_GB2312" w:eastAsia="仿宋_GB2312" w:cs="仿宋_GB2312"/>
      <w:color w:val="000000"/>
      <w:sz w:val="24"/>
      <w:szCs w:val="24"/>
      <w:u w:val="none"/>
    </w:rPr>
  </w:style>
  <w:style w:type="character" w:customStyle="1" w:styleId="11">
    <w:name w:val="font5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2022-05-09T15:41:00Z</dcterms:created>
  <dc:creator>xiem</dc:creator>
  <cp:lastModifiedBy>xiem</cp:lastModifiedBy>
  <dcterms:modified xsi:type="dcterms:W3CDTF">2022-05-09T16:41:46Z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