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bidi w:val="0"/>
        <w:jc w:val="center"/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t>不合格检验项目小知识</w:t>
      </w:r>
    </w:p>
    <w:p>
      <w:pPr>
        <w:spacing w:line="594" w:lineRule="exact"/>
        <w:ind w:firstLine="296" w:firstLineChars="1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二氧化硫残留量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二氧化硫（以及焦亚硫酸钾、亚硫酸钠等添加剂）对食品有漂白、防腐和抗氧化作用，是食品加工中常用的漂白剂和防腐剂。《食品安全国家标准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2760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</w:rPr>
        <w:t>2014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炒货食品及坚果制品中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二氧化硫残留量不得超过</w:t>
      </w:r>
      <w:r>
        <w:rPr>
          <w:rFonts w:ascii="Times New Roman" w:hAnsi="Times New Roman" w:eastAsia="仿宋_GB2312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炒货食品及坚果制品中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二氧化硫残留量超标的原因，可能是加工过程中，超限量使用亚硫酸盐、二氧化硫等物质，以达到漂白和防腐的作用，从而导致产品中二氧化硫残留不符合要求。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、过氧化值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过氧化值主要反映产品中油脂被氧化的程度。《食品安全国家标准 糕点、面包》（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GB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7099-2015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）中规定，糕点中过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氧化值的最大限量值为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。坚果和籽类食品中过氧化值超标的原因，可能是产品储存条件控制不当，导致油脂过度氧化；也可能是原料储存不当，导致脂肪过度氧化，使得终产品过氧化值超标。</w:t>
      </w:r>
    </w:p>
    <w:p>
      <w:pPr>
        <w:numPr>
          <w:ilvl w:val="0"/>
          <w:numId w:val="0"/>
        </w:numPr>
        <w:spacing w:line="594" w:lineRule="exact"/>
        <w:ind w:firstLine="592" w:firstLineChars="200"/>
        <w:rPr>
          <w:rFonts w:hint="eastAsia" w:ascii="方正黑体_GBK" w:hAnsi="方正黑体_GBK" w:eastAsia="方正黑体_GBK" w:cs="方正黑体_GBK"/>
          <w:color w:val="000000"/>
          <w:spacing w:val="-1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12"/>
          <w:sz w:val="32"/>
          <w:szCs w:val="32"/>
          <w:lang w:eastAsia="zh-CN"/>
        </w:rPr>
        <w:t>三、霉菌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《食品安全国家标准 饮料》（GB 7101—2015）中规定，糕点中霉菌最大限量值为50CFU/g。糕点中霉菌超标的原因，可能是原料发霉或原料、包装材料受到霉菌污染，也可能是产品在生产加工过程中卫生条件控制不到位，还可能与产品储运条件不当有关。</w:t>
      </w:r>
    </w:p>
    <w:p>
      <w:pPr>
        <w:spacing w:line="594" w:lineRule="exact"/>
        <w:ind w:firstLine="592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pacing w:val="-12"/>
          <w:sz w:val="32"/>
          <w:szCs w:val="32"/>
          <w:lang w:eastAsia="zh-CN"/>
        </w:rPr>
        <w:t>四、</w:t>
      </w:r>
      <w:r>
        <w:rPr>
          <w:rFonts w:ascii="Times New Roman" w:hAnsi="Times New Roman" w:eastAsia="黑体" w:cs="Times New Roman"/>
          <w:color w:val="000000"/>
          <w:spacing w:val="-12"/>
          <w:sz w:val="32"/>
          <w:szCs w:val="32"/>
        </w:rPr>
        <w:t>菌落总数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菌落总数是指示性微生物指标，可以反映食品的卫生状况。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糕点、面包》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 7099-2015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一个样品中菌落总数的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5次检测结果均不得超过105CFU/g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且至少3次检测结果不超过104CFU/g。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菌落总数超标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的原因，可能是生产加工过程中卫生条件控制不严格；也可能与产品包装密封不严、储运条件控制不当等有关。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0"/>
        </w:numPr>
        <w:spacing w:line="594" w:lineRule="exact"/>
        <w:ind w:leftChars="200"/>
        <w:rPr>
          <w:rFonts w:hint="default" w:ascii="黑体" w:hAnsi="黑体" w:eastAsia="黑体" w:cs="黑体"/>
          <w:color w:val="000000"/>
          <w:spacing w:val="-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bidi w:val="0"/>
        <w:jc w:val="both"/>
        <w:rPr>
          <w:rFonts w:hint="default" w:ascii="Times New Roman" w:hAnsi="Times New Roman" w:eastAsia="方正小标宋简体" w:cs="Times New Roman"/>
          <w:color w:val="000000"/>
          <w:spacing w:val="-12"/>
          <w:sz w:val="44"/>
          <w:szCs w:val="44"/>
          <w:lang w:val="en-US" w:eastAsia="zh-CN"/>
        </w:rPr>
      </w:pPr>
    </w:p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D0E23"/>
    <w:rsid w:val="3EAB0813"/>
    <w:rsid w:val="3F7D917B"/>
    <w:rsid w:val="3FC6EC91"/>
    <w:rsid w:val="75E77650"/>
    <w:rsid w:val="9F9F8CEF"/>
    <w:rsid w:val="9FBF0B8D"/>
    <w:rsid w:val="ECBDAB03"/>
    <w:rsid w:val="FEDFB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文雯</cp:lastModifiedBy>
  <dcterms:modified xsi:type="dcterms:W3CDTF">2024-04-11T02:52:00Z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8D983F4A855F4939B99F311127C050E1_13</vt:lpwstr>
  </property>
</Properties>
</file>