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p>
    <w:p>
      <w:pPr>
        <w:spacing w:line="594" w:lineRule="exact"/>
        <w:ind w:firstLine="592" w:firstLineChars="200"/>
        <w:rPr>
          <w:rFonts w:hint="default" w:ascii="Times New Roman" w:hAnsi="Times New Roman" w:eastAsia="黑体" w:cs="Times New Roman"/>
          <w:sz w:val="32"/>
          <w:szCs w:val="32"/>
        </w:rPr>
      </w:pPr>
      <w:r>
        <w:rPr>
          <w:rFonts w:hint="default" w:ascii="Times New Roman" w:hAnsi="Times New Roman" w:eastAsia="黑体" w:cs="Times New Roman"/>
          <w:spacing w:val="-12"/>
          <w:kern w:val="2"/>
          <w:sz w:val="32"/>
          <w:szCs w:val="32"/>
          <w:lang w:val="en-US" w:eastAsia="zh-CN" w:bidi="ar-SA"/>
        </w:rPr>
        <w:t>一、</w:t>
      </w:r>
      <w:r>
        <w:rPr>
          <w:rFonts w:hint="default" w:ascii="Times New Roman" w:hAnsi="Times New Roman" w:eastAsia="黑体" w:cs="Times New Roman"/>
          <w:spacing w:val="-12"/>
          <w:sz w:val="32"/>
          <w:szCs w:val="32"/>
          <w:lang w:val="en-US" w:eastAsia="zh-CN"/>
        </w:rPr>
        <w:t>大肠菌群</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kern w:val="2"/>
          <w:sz w:val="32"/>
          <w:szCs w:val="32"/>
          <w:highlight w:val="none"/>
          <w:lang w:val="en-US" w:eastAsia="zh-CN" w:bidi="ar-SA"/>
        </w:rPr>
        <w:t xml:space="preserve">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w:t>
      </w:r>
      <w:r>
        <w:rPr>
          <w:rFonts w:hint="eastAsia" w:ascii="Times New Roman" w:hAnsi="Times New Roman" w:eastAsia="仿宋_GB2312" w:cs="Times New Roman"/>
          <w:kern w:val="2"/>
          <w:sz w:val="32"/>
          <w:szCs w:val="32"/>
          <w:highlight w:val="none"/>
          <w:lang w:val="en-US" w:eastAsia="zh-CN" w:bidi="ar-SA"/>
        </w:rPr>
        <w:t>熟肉制品</w:t>
      </w:r>
      <w:r>
        <w:rPr>
          <w:rFonts w:hint="default"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lang w:val="en-US" w:eastAsia="zh-CN"/>
        </w:rPr>
        <w:t>2726</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highlight w:val="none"/>
          <w:lang w:val="en-US" w:eastAsia="zh-CN" w:bidi="ar-SA"/>
        </w:rPr>
        <w:t>中规定，</w:t>
      </w:r>
      <w:r>
        <w:rPr>
          <w:rFonts w:hint="eastAsia" w:ascii="Times New Roman" w:hAnsi="Times New Roman" w:eastAsia="仿宋_GB2312" w:cs="Times New Roman"/>
          <w:kern w:val="2"/>
          <w:sz w:val="32"/>
          <w:szCs w:val="32"/>
          <w:highlight w:val="none"/>
          <w:lang w:val="en-US" w:eastAsia="zh-CN" w:bidi="ar-SA"/>
        </w:rPr>
        <w:t>熏煮香肠火腿制品</w:t>
      </w:r>
      <w:r>
        <w:rPr>
          <w:rFonts w:hint="default" w:eastAsia="仿宋_GB2312" w:cs="Times New Roman"/>
          <w:sz w:val="32"/>
          <w:szCs w:val="32"/>
        </w:rPr>
        <w:t>同一批次产品</w:t>
      </w:r>
      <w:r>
        <w:rPr>
          <w:rFonts w:hint="eastAsia" w:eastAsia="仿宋_GB2312" w:cs="Times New Roman"/>
          <w:sz w:val="32"/>
          <w:szCs w:val="32"/>
          <w:lang w:val="en-US" w:eastAsia="zh-CN"/>
        </w:rPr>
        <w:t>中</w:t>
      </w:r>
      <w:r>
        <w:rPr>
          <w:rFonts w:hint="default" w:ascii="Times New Roman" w:hAnsi="Times New Roman" w:eastAsia="仿宋_GB2312" w:cs="Times New Roman"/>
          <w:sz w:val="32"/>
          <w:szCs w:val="32"/>
        </w:rPr>
        <w:t>5</w:t>
      </w:r>
      <w:r>
        <w:rPr>
          <w:rFonts w:hint="default" w:eastAsia="仿宋_GB2312" w:cs="Times New Roman"/>
          <w:sz w:val="32"/>
          <w:szCs w:val="32"/>
        </w:rPr>
        <w:t>个样品的</w:t>
      </w:r>
      <w:r>
        <w:rPr>
          <w:rFonts w:hint="default" w:ascii="Times New Roman" w:hAnsi="Times New Roman" w:eastAsia="仿宋_GB2312" w:cs="Times New Roman"/>
          <w:kern w:val="2"/>
          <w:sz w:val="32"/>
          <w:szCs w:val="32"/>
          <w:highlight w:val="none"/>
          <w:lang w:val="en-US" w:eastAsia="zh-CN" w:bidi="ar-SA"/>
        </w:rPr>
        <w:t>大肠菌群</w:t>
      </w:r>
      <w:r>
        <w:rPr>
          <w:rFonts w:hint="default" w:eastAsia="仿宋_GB2312" w:cs="Times New Roman"/>
          <w:sz w:val="32"/>
          <w:szCs w:val="32"/>
        </w:rPr>
        <w:t>检</w:t>
      </w:r>
      <w:r>
        <w:rPr>
          <w:rFonts w:hint="default" w:eastAsia="仿宋_GB2312" w:cs="Times New Roman"/>
          <w:sz w:val="32"/>
          <w:szCs w:val="32"/>
          <w:lang w:val="en-US" w:eastAsia="zh-CN"/>
        </w:rPr>
        <w:t>验</w:t>
      </w:r>
      <w:r>
        <w:rPr>
          <w:rFonts w:hint="default" w:eastAsia="仿宋_GB2312" w:cs="Times New Roman"/>
          <w:sz w:val="32"/>
          <w:szCs w:val="32"/>
        </w:rPr>
        <w:t>结果均不得超过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rPr>
        <w:t>CFU/g</w:t>
      </w:r>
      <w:r>
        <w:rPr>
          <w:rFonts w:hint="default" w:eastAsia="仿宋_GB2312" w:cs="Times New Roman"/>
          <w:sz w:val="32"/>
          <w:szCs w:val="32"/>
        </w:rPr>
        <w:t>，</w:t>
      </w:r>
      <w:r>
        <w:rPr>
          <w:rFonts w:hint="default" w:ascii="Times New Roman" w:hAnsi="Times New Roman" w:eastAsia="仿宋_GB2312" w:cs="Times New Roman"/>
          <w:sz w:val="32"/>
          <w:szCs w:val="32"/>
          <w:highlight w:val="none"/>
        </w:rPr>
        <w:t>且最多允许2个样品的</w:t>
      </w:r>
      <w:r>
        <w:rPr>
          <w:rFonts w:hint="default" w:ascii="Times New Roman" w:hAnsi="Times New Roman" w:eastAsia="仿宋_GB2312" w:cs="Times New Roman"/>
          <w:color w:val="000000"/>
          <w:sz w:val="32"/>
          <w:szCs w:val="32"/>
          <w:highlight w:val="none"/>
        </w:rPr>
        <w:t>检</w:t>
      </w:r>
      <w:r>
        <w:rPr>
          <w:rFonts w:hint="default" w:eastAsia="仿宋_GB2312" w:cs="Times New Roman"/>
          <w:sz w:val="32"/>
          <w:szCs w:val="32"/>
          <w:lang w:val="en-US" w:eastAsia="zh-CN"/>
        </w:rPr>
        <w:t>验</w:t>
      </w:r>
      <w:r>
        <w:rPr>
          <w:rFonts w:hint="default" w:ascii="Times New Roman" w:hAnsi="Times New Roman" w:eastAsia="仿宋_GB2312" w:cs="Times New Roman"/>
          <w:color w:val="000000"/>
          <w:sz w:val="32"/>
          <w:szCs w:val="32"/>
          <w:highlight w:val="none"/>
        </w:rPr>
        <w:t>结果超过</w:t>
      </w:r>
      <w:r>
        <w:rPr>
          <w:rFonts w:hint="default" w:ascii="Times New Roman" w:hAnsi="Times New Roman" w:eastAsia="仿宋_GB2312" w:cs="Times New Roman"/>
          <w:sz w:val="32"/>
          <w:szCs w:val="32"/>
        </w:rPr>
        <w:t>10CFU/g</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熏煮香肠火腿制品</w:t>
      </w:r>
      <w:r>
        <w:rPr>
          <w:rFonts w:hint="default" w:ascii="Times New Roman" w:hAnsi="Times New Roman" w:eastAsia="仿宋_GB2312" w:cs="Times New Roman"/>
          <w:kern w:val="2"/>
          <w:sz w:val="32"/>
          <w:szCs w:val="32"/>
          <w:highlight w:val="none"/>
          <w:lang w:val="en-US" w:eastAsia="zh-CN" w:bidi="ar-SA"/>
        </w:rPr>
        <w:t>中大肠菌群数超标的原因，可能是产品的加工原料、包装材料受污染；也可能是产品在生产过程中受人员、工器具等的污染；还可能是灭菌不彻底导致的</w:t>
      </w:r>
      <w:r>
        <w:rPr>
          <w:rFonts w:hint="default" w:ascii="Times New Roman" w:hAnsi="Times New Roman" w:eastAsia="仿宋_GB2312" w:cs="Times New Roman"/>
          <w:color w:val="auto"/>
          <w:sz w:val="32"/>
          <w:szCs w:val="32"/>
          <w:lang w:eastAsia="zh-CN"/>
        </w:rPr>
        <w:t>；还可能</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eastAsia="zh-CN"/>
        </w:rPr>
        <w:t>产品储存条件不当有关。</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592"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pacing w:val="-12"/>
          <w:sz w:val="32"/>
          <w:szCs w:val="32"/>
          <w:lang w:val="en-US" w:eastAsia="zh-CN"/>
        </w:rPr>
        <w:t>二</w:t>
      </w:r>
      <w:r>
        <w:rPr>
          <w:rFonts w:hint="default" w:ascii="Times New Roman" w:hAnsi="Times New Roman" w:eastAsia="黑体" w:cs="Times New Roman"/>
          <w:spacing w:val="-12"/>
          <w:sz w:val="32"/>
          <w:szCs w:val="32"/>
        </w:rPr>
        <w:t>、</w:t>
      </w:r>
      <w:r>
        <w:rPr>
          <w:rFonts w:hint="eastAsia" w:ascii="Times New Roman" w:hAnsi="Times New Roman" w:eastAsia="黑体" w:cs="Times New Roman"/>
          <w:spacing w:val="-12"/>
          <w:sz w:val="32"/>
          <w:szCs w:val="32"/>
          <w:lang w:val="en-US" w:eastAsia="zh-CN"/>
        </w:rPr>
        <w:t>菌落总数</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eastAsia="zh-CN"/>
        </w:rPr>
        <w:t>酱油</w:t>
      </w:r>
      <w:r>
        <w:rPr>
          <w:rFonts w:hint="default" w:ascii="Times New Roman" w:hAnsi="Times New Roman" w:eastAsia="仿宋_GB2312" w:cs="Times New Roman"/>
          <w:sz w:val="32"/>
          <w:szCs w:val="32"/>
        </w:rPr>
        <w:t>》（GB 271</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2018）中规定，</w:t>
      </w:r>
      <w:r>
        <w:rPr>
          <w:rFonts w:hint="default" w:ascii="Times New Roman" w:hAnsi="Times New Roman" w:eastAsia="仿宋_GB2312" w:cs="Times New Roman"/>
          <w:sz w:val="32"/>
          <w:szCs w:val="32"/>
          <w:lang w:eastAsia="zh-CN"/>
        </w:rPr>
        <w:t>酱油</w:t>
      </w:r>
      <w:r>
        <w:rPr>
          <w:rFonts w:hint="default" w:ascii="Times New Roman" w:hAnsi="Times New Roman" w:eastAsia="仿宋_GB2312" w:cs="Times New Roman"/>
          <w:sz w:val="32"/>
          <w:szCs w:val="32"/>
        </w:rPr>
        <w:t>同一批次产品</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5个样品的菌落总数检</w:t>
      </w:r>
      <w:r>
        <w:rPr>
          <w:rFonts w:hint="default" w:ascii="Times New Roman" w:hAnsi="Times New Roman" w:eastAsia="仿宋_GB2312" w:cs="Times New Roman"/>
          <w:sz w:val="32"/>
          <w:szCs w:val="32"/>
          <w:lang w:val="en-US" w:eastAsia="zh-CN"/>
        </w:rPr>
        <w:t>验</w:t>
      </w:r>
      <w:r>
        <w:rPr>
          <w:rFonts w:hint="eastAsia" w:ascii="Times New Roman" w:hAnsi="Times New Roman" w:eastAsia="仿宋_GB2312" w:cs="Times New Roman"/>
          <w:sz w:val="32"/>
          <w:szCs w:val="32"/>
          <w:lang w:val="en-US" w:eastAsia="zh-CN"/>
        </w:rPr>
        <w:t>结果</w:t>
      </w:r>
      <w:r>
        <w:rPr>
          <w:rFonts w:hint="default" w:ascii="Times New Roman" w:hAnsi="Times New Roman" w:eastAsia="仿宋_GB2312" w:cs="Times New Roman"/>
          <w:sz w:val="32"/>
          <w:szCs w:val="32"/>
        </w:rPr>
        <w:t>均不得超过</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rPr>
        <w:t>4</w:t>
      </w:r>
      <w:r>
        <w:rPr>
          <w:rFonts w:hint="default" w:ascii="Times New Roman" w:hAnsi="Times New Roman" w:eastAsia="仿宋_GB2312" w:cs="Times New Roman"/>
          <w:sz w:val="32"/>
          <w:szCs w:val="32"/>
        </w:rPr>
        <w:t>CFU/mL，且最多允许2个样品的检</w:t>
      </w:r>
      <w:r>
        <w:rPr>
          <w:rFonts w:hint="default" w:ascii="Times New Roman" w:hAnsi="Times New Roman" w:eastAsia="仿宋_GB2312" w:cs="Times New Roman"/>
          <w:sz w:val="32"/>
          <w:szCs w:val="32"/>
          <w:lang w:val="en-US" w:eastAsia="zh-CN"/>
        </w:rPr>
        <w:t>验</w:t>
      </w:r>
      <w:r>
        <w:rPr>
          <w:rFonts w:hint="eastAsia" w:ascii="Times New Roman" w:hAnsi="Times New Roman" w:eastAsia="仿宋_GB2312" w:cs="Times New Roman"/>
          <w:sz w:val="32"/>
          <w:szCs w:val="32"/>
          <w:lang w:val="en-US" w:eastAsia="zh-CN"/>
        </w:rPr>
        <w:t>结果</w:t>
      </w:r>
      <w:r>
        <w:rPr>
          <w:rFonts w:hint="default" w:ascii="Times New Roman" w:hAnsi="Times New Roman" w:eastAsia="仿宋_GB2312" w:cs="Times New Roman"/>
          <w:sz w:val="32"/>
          <w:szCs w:val="32"/>
        </w:rPr>
        <w:t>超过</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CFU/mL</w:t>
      </w:r>
      <w:r>
        <w:rPr>
          <w:rFonts w:hint="eastAsia" w:eastAsia="仿宋_GB2312" w:cs="Times New Roman"/>
          <w:sz w:val="32"/>
          <w:szCs w:val="32"/>
        </w:rPr>
        <w:t>。</w:t>
      </w:r>
      <w:r>
        <w:rPr>
          <w:rFonts w:hint="default" w:ascii="Times New Roman" w:hAnsi="Times New Roman" w:eastAsia="仿宋_GB2312" w:cs="Times New Roman"/>
          <w:sz w:val="32"/>
          <w:szCs w:val="32"/>
          <w:lang w:eastAsia="zh-CN"/>
        </w:rPr>
        <w:t>酱油</w:t>
      </w:r>
      <w:r>
        <w:rPr>
          <w:rFonts w:hint="default" w:ascii="Times New Roman" w:hAnsi="Times New Roman" w:eastAsia="仿宋_GB2312" w:cs="Times New Roman"/>
          <w:sz w:val="32"/>
          <w:szCs w:val="32"/>
        </w:rPr>
        <w:t>中菌落总数超标的原因，可能是企业未按要求严格控制生产加工过程的卫生条件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产品包装密封不严或储运条件不当等。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0"/>
          <w:sz w:val="32"/>
          <w:szCs w:val="32"/>
          <w:lang w:val="en-US" w:eastAsia="zh-CN"/>
        </w:rPr>
      </w:pPr>
      <w:r>
        <w:rPr>
          <w:rFonts w:hint="eastAsia" w:ascii="Times New Roman" w:hAnsi="Times New Roman" w:eastAsia="黑体" w:cs="Times New Roman"/>
          <w:spacing w:val="-12"/>
          <w:sz w:val="32"/>
          <w:szCs w:val="32"/>
          <w:lang w:val="en-US" w:eastAsia="zh-CN"/>
        </w:rPr>
        <w:t>三</w:t>
      </w:r>
      <w:r>
        <w:rPr>
          <w:rFonts w:hint="default" w:ascii="Times New Roman" w:hAnsi="Times New Roman" w:eastAsia="黑体" w:cs="Times New Roman"/>
          <w:spacing w:val="-12"/>
          <w:sz w:val="32"/>
          <w:szCs w:val="32"/>
          <w:lang w:val="en-US" w:eastAsia="zh-CN"/>
        </w:rPr>
        <w:t>、</w:t>
      </w:r>
      <w:r>
        <w:rPr>
          <w:rFonts w:hint="eastAsia" w:ascii="黑体" w:hAnsi="黑体" w:eastAsia="黑体" w:cs="黑体"/>
          <w:spacing w:val="-12"/>
          <w:kern w:val="2"/>
          <w:sz w:val="32"/>
          <w:szCs w:val="32"/>
          <w:lang w:val="en-US" w:eastAsia="zh-CN" w:bidi="ar-SA"/>
        </w:rPr>
        <w:t>亚硝酸盐（以NO</w:t>
      </w:r>
      <w:r>
        <w:rPr>
          <w:rFonts w:hint="eastAsia" w:ascii="黑体" w:hAnsi="黑体" w:eastAsia="黑体" w:cs="黑体"/>
          <w:spacing w:val="-12"/>
          <w:kern w:val="2"/>
          <w:sz w:val="32"/>
          <w:szCs w:val="32"/>
          <w:vertAlign w:val="subscript"/>
          <w:lang w:val="en-US" w:eastAsia="zh-CN" w:bidi="ar-SA"/>
        </w:rPr>
        <w:t>2</w:t>
      </w:r>
      <w:r>
        <w:rPr>
          <w:rFonts w:hint="eastAsia" w:ascii="黑体" w:hAnsi="黑体" w:eastAsia="黑体" w:cs="黑体"/>
          <w:spacing w:val="-12"/>
          <w:kern w:val="2"/>
          <w:sz w:val="32"/>
          <w:szCs w:val="32"/>
          <w:vertAlign w:val="superscript"/>
          <w:lang w:val="en-US" w:eastAsia="zh-CN" w:bidi="ar-SA"/>
        </w:rPr>
        <w:t>-</w:t>
      </w:r>
      <w:r>
        <w:rPr>
          <w:rFonts w:hint="eastAsia" w:ascii="黑体" w:hAnsi="黑体" w:eastAsia="黑体" w:cs="黑体"/>
          <w:spacing w:val="-12"/>
          <w:kern w:val="2"/>
          <w:sz w:val="32"/>
          <w:szCs w:val="32"/>
          <w:lang w:val="en-US" w:eastAsia="zh-CN" w:bidi="ar-SA"/>
        </w:rPr>
        <w:t>计）</w:t>
      </w:r>
    </w:p>
    <w:p>
      <w:pPr>
        <w:spacing w:line="59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pacing w:val="0"/>
          <w:sz w:val="32"/>
          <w:szCs w:val="32"/>
          <w:lang w:val="en-US" w:eastAsia="zh-CN"/>
        </w:rPr>
        <w:t>亚硝酸盐广泛存在于环境中，是自然界中普遍存在的含氮化合物，水中的亚硝酸盐可由硝酸盐转化而来，水体被细菌污染后，在一定温度下细菌会释放出硝酸盐还原酶，将水中的硝酸盐还原成亚硝酸盐，能一定程度上反映水体被污染的情况。</w:t>
      </w:r>
      <w:r>
        <w:rPr>
          <w:rFonts w:hint="eastAsia" w:ascii="Times New Roman" w:hAnsi="Times New Roman" w:eastAsia="仿宋_GB2312" w:cs="Times New Roman"/>
          <w:color w:val="000000"/>
          <w:kern w:val="2"/>
          <w:sz w:val="32"/>
          <w:szCs w:val="32"/>
          <w:lang w:val="en-US" w:eastAsia="zh-CN" w:bidi="ar"/>
        </w:rPr>
        <w:t>亚硝酸盐可导致高铁血红蛋白症</w:t>
      </w:r>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spacing w:val="0"/>
          <w:sz w:val="32"/>
          <w:szCs w:val="32"/>
          <w:lang w:val="en-US" w:eastAsia="zh-CN"/>
        </w:rPr>
        <w:t>还能够与蛋白质分解产物在酸性条件下发生反应</w:t>
      </w:r>
      <w:r>
        <w:rPr>
          <w:rFonts w:hint="eastAsia" w:ascii="Times New Roman" w:hAnsi="Times New Roman" w:eastAsia="仿宋_GB2312" w:cs="Times New Roman"/>
          <w:color w:val="000000"/>
          <w:kern w:val="2"/>
          <w:sz w:val="32"/>
          <w:szCs w:val="32"/>
          <w:lang w:val="en-US" w:eastAsia="zh-CN" w:bidi="ar"/>
        </w:rPr>
        <w:t>产生亚硝胺类致癌物</w:t>
      </w:r>
      <w:r>
        <w:rPr>
          <w:rFonts w:hint="eastAsia"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spacing w:val="0"/>
          <w:sz w:val="32"/>
          <w:szCs w:val="32"/>
          <w:lang w:val="en-US" w:eastAsia="zh-CN"/>
        </w:rPr>
        <w:t>若饮用亚硝酸盐严重超标的水可能会引起中毒。</w:t>
      </w:r>
      <w:r>
        <w:rPr>
          <w:rFonts w:hint="default" w:ascii="Times New Roman" w:hAnsi="Times New Roman" w:eastAsia="仿宋_GB2312" w:cs="Times New Roman"/>
          <w:spacing w:val="0"/>
          <w:sz w:val="32"/>
          <w:szCs w:val="32"/>
        </w:rPr>
        <w:t>《食品安全国家标准 食品中污染物限量》（GB 276</w:t>
      </w:r>
      <w:r>
        <w:rPr>
          <w:rFonts w:hint="eastAsia"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20</w:t>
      </w:r>
      <w:r>
        <w:rPr>
          <w:rFonts w:hint="eastAsia" w:ascii="Times New Roman" w:hAnsi="Times New Roman" w:eastAsia="仿宋_GB2312" w:cs="Times New Roman"/>
          <w:spacing w:val="0"/>
          <w:sz w:val="32"/>
          <w:szCs w:val="32"/>
          <w:lang w:val="en-US" w:eastAsia="zh-CN"/>
        </w:rPr>
        <w:t>17</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中规定，包装饮用水（矿泉水除外）中亚硝酸盐（以</w:t>
      </w:r>
      <w:r>
        <w:rPr>
          <w:rFonts w:hint="default" w:ascii="Times New Roman" w:hAnsi="Times New Roman" w:eastAsia="仿宋_GB2312" w:cs="Times New Roman"/>
          <w:spacing w:val="0"/>
          <w:sz w:val="32"/>
          <w:szCs w:val="32"/>
          <w:lang w:val="en-US" w:eastAsia="zh-CN"/>
        </w:rPr>
        <w:t>NO</w:t>
      </w:r>
      <w:r>
        <w:rPr>
          <w:rFonts w:hint="default" w:ascii="Times New Roman" w:hAnsi="Times New Roman" w:eastAsia="仿宋_GB2312" w:cs="Times New Roman"/>
          <w:spacing w:val="0"/>
          <w:sz w:val="32"/>
          <w:szCs w:val="32"/>
          <w:vertAlign w:val="subscript"/>
          <w:lang w:val="en-US" w:eastAsia="zh-CN"/>
        </w:rPr>
        <w:t>2</w:t>
      </w:r>
      <w:r>
        <w:rPr>
          <w:rFonts w:hint="eastAsia" w:ascii="仿宋_GB2312" w:hAnsi="仿宋_GB2312" w:eastAsia="仿宋_GB2312" w:cs="仿宋_GB2312"/>
          <w:spacing w:val="0"/>
          <w:sz w:val="32"/>
          <w:szCs w:val="32"/>
          <w:vertAlign w:val="superscript"/>
          <w:lang w:val="en-US" w:eastAsia="zh-CN"/>
        </w:rPr>
        <w:t>-</w:t>
      </w:r>
      <w:r>
        <w:rPr>
          <w:rFonts w:hint="eastAsia" w:ascii="Times New Roman" w:hAnsi="Times New Roman" w:eastAsia="仿宋_GB2312" w:cs="Times New Roman"/>
          <w:spacing w:val="0"/>
          <w:sz w:val="32"/>
          <w:szCs w:val="32"/>
          <w:lang w:val="en-US" w:eastAsia="zh-CN"/>
        </w:rPr>
        <w:t>计）的最大限量值为</w:t>
      </w:r>
      <w:r>
        <w:rPr>
          <w:rFonts w:hint="default" w:ascii="Times New Roman" w:hAnsi="Times New Roman" w:eastAsia="仿宋_GB2312" w:cs="Times New Roman"/>
          <w:spacing w:val="0"/>
          <w:sz w:val="32"/>
          <w:szCs w:val="32"/>
          <w:lang w:val="en-US" w:eastAsia="zh-CN"/>
        </w:rPr>
        <w:t>0.005mg/L</w:t>
      </w:r>
      <w:r>
        <w:rPr>
          <w:rFonts w:hint="eastAsia" w:ascii="Times New Roman" w:hAnsi="Times New Roman" w:eastAsia="仿宋_GB2312" w:cs="Times New Roman"/>
          <w:spacing w:val="0"/>
          <w:sz w:val="32"/>
          <w:szCs w:val="32"/>
          <w:lang w:val="en-US" w:eastAsia="zh-CN"/>
        </w:rPr>
        <w:t>。其他类饮用水中亚硝酸盐检验值超标的原因，可能是水体被细菌污染；也可能是消毒控制不当。</w:t>
      </w:r>
    </w:p>
    <w:p>
      <w:pPr>
        <w:spacing w:line="594" w:lineRule="exact"/>
        <w:ind w:firstLine="592" w:firstLineChars="200"/>
        <w:rPr>
          <w:rFonts w:eastAsia="黑体"/>
          <w:spacing w:val="-12"/>
          <w:sz w:val="32"/>
          <w:szCs w:val="32"/>
        </w:rPr>
      </w:pPr>
      <w:r>
        <w:rPr>
          <w:rFonts w:hint="eastAsia" w:ascii="Times New Roman" w:hAnsi="Times New Roman" w:eastAsia="黑体" w:cs="Times New Roman"/>
          <w:spacing w:val="-12"/>
          <w:sz w:val="32"/>
          <w:szCs w:val="32"/>
          <w:lang w:val="en-US" w:eastAsia="zh-CN"/>
        </w:rPr>
        <w:t>四</w:t>
      </w:r>
      <w:r>
        <w:rPr>
          <w:rFonts w:hint="default" w:ascii="Times New Roman" w:hAnsi="Times New Roman" w:eastAsia="黑体" w:cs="Times New Roman"/>
          <w:spacing w:val="-12"/>
          <w:sz w:val="32"/>
          <w:szCs w:val="32"/>
        </w:rPr>
        <w:t>、</w:t>
      </w:r>
      <w:r>
        <w:rPr>
          <w:rFonts w:hint="eastAsia" w:eastAsia="黑体"/>
          <w:spacing w:val="-12"/>
          <w:sz w:val="32"/>
          <w:szCs w:val="32"/>
        </w:rPr>
        <w:t>呋喃西林代谢物</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仿宋_GB2312" w:cs="Times New Roman"/>
          <w:sz w:val="32"/>
          <w:szCs w:val="32"/>
        </w:rPr>
      </w:pPr>
      <w:r>
        <w:rPr>
          <w:rFonts w:hint="eastAsia" w:eastAsia="仿宋_GB2312"/>
          <w:sz w:val="32"/>
          <w:szCs w:val="32"/>
        </w:rPr>
        <w:t>呋喃西林是硝基呋喃类抗菌药，具有抗菌谱广等特点。硝基呋喃类原型药在生物体内代谢迅速，其代谢物和蛋白质结合后稳定，故检测其代谢物可反映硝基呋喃类药物的残留状况。长期大量摄入含有呋喃西林代谢物的食品，其可能在人体内蓄积，引起过敏反应、胃肠道反应、嗜酸性白细胞增多症、神经症状及多发性末梢神经炎等。《食品动物中禁止使用的药品及其他化合物清单》（农业农村部公告</w:t>
      </w:r>
      <w:r>
        <w:rPr>
          <w:rFonts w:hint="eastAsia" w:eastAsia="仿宋_GB2312"/>
          <w:sz w:val="32"/>
          <w:szCs w:val="32"/>
          <w:lang w:val="en-US" w:eastAsia="zh-CN"/>
        </w:rPr>
        <w:t xml:space="preserve"> </w:t>
      </w:r>
      <w:r>
        <w:rPr>
          <w:rFonts w:hint="eastAsia" w:eastAsia="仿宋_GB2312"/>
          <w:sz w:val="32"/>
          <w:szCs w:val="32"/>
        </w:rPr>
        <w:t>第250号）规定，呋喃西林为食品动物中禁止使用的药品，即在动物性食品中不得检出呋喃西林代谢物。蜂蜜中检出呋喃西林代谢物的原因，可能是蜂农在养殖中违规使用</w:t>
      </w:r>
      <w:r>
        <w:rPr>
          <w:rFonts w:hint="eastAsia" w:eastAsia="仿宋_GB2312"/>
          <w:sz w:val="32"/>
          <w:szCs w:val="32"/>
          <w:lang w:eastAsia="zh-CN"/>
        </w:rPr>
        <w:t>兽药；</w:t>
      </w:r>
      <w:r>
        <w:rPr>
          <w:rFonts w:hint="eastAsia" w:ascii="Times New Roman" w:hAnsi="Times New Roman" w:eastAsia="仿宋_GB2312" w:cs="Times New Roman"/>
          <w:color w:val="auto"/>
          <w:sz w:val="32"/>
          <w:szCs w:val="32"/>
          <w:lang w:eastAsia="zh-CN"/>
        </w:rPr>
        <w:t>也可能</w:t>
      </w:r>
      <w:r>
        <w:rPr>
          <w:rFonts w:hint="eastAsia" w:ascii="Times New Roman" w:hAnsi="Times New Roman" w:eastAsia="仿宋_GB2312" w:cs="Times New Roman"/>
          <w:color w:val="auto"/>
          <w:sz w:val="32"/>
          <w:szCs w:val="32"/>
          <w:lang w:val="en-US" w:eastAsia="zh-CN"/>
        </w:rPr>
        <w:t>与企业</w:t>
      </w:r>
      <w:r>
        <w:rPr>
          <w:rFonts w:hint="eastAsia" w:ascii="Times New Roman" w:hAnsi="Times New Roman" w:eastAsia="仿宋_GB2312" w:cs="Times New Roman"/>
          <w:color w:val="auto"/>
          <w:sz w:val="32"/>
          <w:szCs w:val="32"/>
          <w:lang w:eastAsia="zh-CN"/>
        </w:rPr>
        <w:t>使用不合格</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lang w:eastAsia="zh-CN"/>
        </w:rPr>
        <w:t>包装材料</w:t>
      </w:r>
      <w:r>
        <w:rPr>
          <w:rFonts w:hint="eastAsia" w:ascii="Times New Roman" w:hAnsi="Times New Roman" w:eastAsia="仿宋_GB2312" w:cs="Times New Roman"/>
          <w:color w:val="auto"/>
          <w:sz w:val="32"/>
          <w:szCs w:val="32"/>
          <w:lang w:val="en-US" w:eastAsia="zh-CN"/>
        </w:rPr>
        <w:t>有关</w:t>
      </w:r>
      <w:r>
        <w:rPr>
          <w:rFonts w:hint="eastAsia" w:eastAsia="仿宋_GB2312"/>
          <w:sz w:val="32"/>
          <w:szCs w:val="32"/>
        </w:rPr>
        <w:t>。</w:t>
      </w:r>
    </w:p>
    <w:p>
      <w:pPr>
        <w:spacing w:line="594" w:lineRule="exact"/>
        <w:ind w:firstLine="592" w:firstLineChars="200"/>
        <w:rPr>
          <w:rFonts w:hint="default" w:ascii="黑体" w:hAnsi="黑体" w:eastAsia="黑体"/>
          <w:spacing w:val="-12"/>
          <w:sz w:val="32"/>
          <w:szCs w:val="32"/>
          <w:lang w:val="en-US" w:eastAsia="zh-CN"/>
        </w:rPr>
      </w:pPr>
      <w:r>
        <w:rPr>
          <w:rFonts w:hint="eastAsia" w:eastAsia="黑体"/>
          <w:spacing w:val="-12"/>
          <w:sz w:val="32"/>
          <w:szCs w:val="32"/>
          <w:lang w:val="en-US" w:eastAsia="zh-CN"/>
        </w:rPr>
        <w:t>五</w:t>
      </w:r>
      <w:r>
        <w:rPr>
          <w:rFonts w:hint="eastAsia" w:eastAsia="黑体"/>
          <w:spacing w:val="-12"/>
          <w:sz w:val="32"/>
          <w:szCs w:val="32"/>
        </w:rPr>
        <w:t>、</w:t>
      </w:r>
      <w:r>
        <w:rPr>
          <w:rFonts w:hint="eastAsia" w:ascii="黑体" w:hAnsi="黑体" w:eastAsia="黑体"/>
          <w:spacing w:val="-12"/>
          <w:sz w:val="32"/>
          <w:szCs w:val="32"/>
          <w:lang w:val="en-US" w:eastAsia="zh-CN"/>
        </w:rPr>
        <w:t>乙基麦芽酚</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eastAsia" w:ascii="Times New Roman" w:hAnsi="Times New Roman" w:eastAsia="仿宋_GB2312"/>
          <w:sz w:val="32"/>
          <w:szCs w:val="32"/>
        </w:rPr>
      </w:pPr>
      <w:r>
        <w:rPr>
          <w:rFonts w:ascii="Times New Roman" w:hAnsi="Times New Roman" w:eastAsia="仿宋_GB2312" w:cstheme="minorBidi"/>
          <w:sz w:val="32"/>
          <w:szCs w:val="32"/>
        </w:rPr>
        <w:t>乙基麦芽酚是一种香味改良剂、增香剂，对食品中原有的香味调和、改善和增效具有显著效果，是允许在一定范围内使用的食品用合成香料。长期大量食用乙基麦芽酚超标的食品可能导致头痛、恶心、呕吐、呼吸困难，严重时会造成肝脏损伤、骨骼和关节提前脆变。《食品安全国家标准</w:t>
      </w:r>
      <w:r>
        <w:rPr>
          <w:rFonts w:hint="default" w:ascii="Times New Roman" w:hAnsi="Times New Roman" w:eastAsia="仿宋_GB2312" w:cstheme="minorBidi"/>
          <w:sz w:val="32"/>
          <w:szCs w:val="32"/>
        </w:rPr>
        <w:t xml:space="preserve"> </w:t>
      </w:r>
      <w:r>
        <w:rPr>
          <w:rFonts w:ascii="Times New Roman" w:hAnsi="Times New Roman" w:eastAsia="仿宋_GB2312" w:cstheme="minorBidi"/>
          <w:sz w:val="32"/>
          <w:szCs w:val="32"/>
        </w:rPr>
        <w:t>食品添加剂使用标准》（GB</w:t>
      </w:r>
      <w:r>
        <w:rPr>
          <w:rFonts w:hint="default" w:ascii="Times New Roman" w:hAnsi="Times New Roman" w:eastAsia="仿宋_GB2312" w:cstheme="minorBidi"/>
          <w:sz w:val="32"/>
          <w:szCs w:val="32"/>
        </w:rPr>
        <w:t xml:space="preserve"> </w:t>
      </w:r>
      <w:r>
        <w:rPr>
          <w:rFonts w:ascii="Times New Roman" w:hAnsi="Times New Roman" w:eastAsia="仿宋_GB2312" w:cstheme="minorBidi"/>
          <w:sz w:val="32"/>
          <w:szCs w:val="32"/>
        </w:rPr>
        <w:t>2760</w:t>
      </w:r>
      <w:r>
        <w:rPr>
          <w:rFonts w:hint="eastAsia" w:ascii="仿宋_GB2312" w:hAnsi="仿宋_GB2312" w:eastAsia="仿宋_GB2312" w:cs="仿宋_GB2312"/>
          <w:sz w:val="32"/>
          <w:szCs w:val="32"/>
        </w:rPr>
        <w:t>—</w:t>
      </w:r>
      <w:r>
        <w:rPr>
          <w:rFonts w:ascii="Times New Roman" w:hAnsi="Times New Roman" w:eastAsia="仿宋_GB2312" w:cstheme="minorBidi"/>
          <w:sz w:val="32"/>
          <w:szCs w:val="32"/>
        </w:rPr>
        <w:t>2014）</w:t>
      </w:r>
      <w:r>
        <w:rPr>
          <w:rFonts w:hint="default" w:ascii="Times New Roman" w:hAnsi="Times New Roman" w:eastAsia="仿宋_GB2312" w:cstheme="minorBidi"/>
          <w:sz w:val="32"/>
          <w:szCs w:val="32"/>
        </w:rPr>
        <w:t>中</w:t>
      </w:r>
      <w:r>
        <w:rPr>
          <w:rFonts w:ascii="Times New Roman" w:hAnsi="Times New Roman" w:eastAsia="仿宋_GB2312" w:cstheme="minorBidi"/>
          <w:sz w:val="32"/>
          <w:szCs w:val="32"/>
        </w:rPr>
        <w:t>规定，植物油脂中不得添加食品用香料、香精。食用油中检出乙基麦芽酚的原因，可能是生产经营者以次充好，在具有特殊香味的植物油脂中违规添加</w:t>
      </w:r>
      <w:r>
        <w:rPr>
          <w:rFonts w:hint="default" w:ascii="Times New Roman" w:hAnsi="Times New Roman" w:eastAsia="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六、苋菜红</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ascii="Times New Roman" w:hAnsi="Times New Roman" w:eastAsia="仿宋_GB2312" w:cs="Times New Roman"/>
          <w:bCs/>
          <w:sz w:val="32"/>
          <w:szCs w:val="32"/>
        </w:rPr>
        <w:t>苋菜红又名蓝光酸性红，偶氮类化合物，是常见的食品合成着色剂</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长期食用</w:t>
      </w:r>
      <w:r>
        <w:rPr>
          <w:rFonts w:hint="eastAsia" w:ascii="Times New Roman" w:hAnsi="Times New Roman" w:eastAsia="仿宋_GB2312" w:cs="Times New Roman"/>
          <w:bCs/>
          <w:sz w:val="32"/>
          <w:szCs w:val="32"/>
          <w:lang w:eastAsia="zh-CN"/>
        </w:rPr>
        <w:t>苋菜红</w:t>
      </w:r>
      <w:r>
        <w:rPr>
          <w:rFonts w:hint="eastAsia" w:ascii="Times New Roman" w:hAnsi="Times New Roman" w:eastAsia="仿宋_GB2312" w:cs="Times New Roman"/>
          <w:bCs/>
          <w:sz w:val="32"/>
          <w:szCs w:val="32"/>
        </w:rPr>
        <w:t>超标的食品，可能危害人体健康</w:t>
      </w:r>
      <w:r>
        <w:rPr>
          <w:rFonts w:ascii="Times New Roman" w:hAnsi="Times New Roman" w:eastAsia="仿宋_GB2312" w:cs="Times New Roman"/>
          <w:bCs/>
          <w:sz w:val="32"/>
          <w:szCs w:val="32"/>
        </w:rPr>
        <w:t>。《食品安全国家标准 食品添加剂使用标准》（GB 2760</w:t>
      </w:r>
      <w:r>
        <w:rPr>
          <w:rFonts w:hint="eastAsia" w:ascii="仿宋_GB2312" w:hAnsi="仿宋_GB2312" w:eastAsia="仿宋_GB2312" w:cs="仿宋_GB2312"/>
          <w:bCs/>
          <w:sz w:val="32"/>
          <w:szCs w:val="32"/>
        </w:rPr>
        <w:t>—</w:t>
      </w:r>
      <w:r>
        <w:rPr>
          <w:rFonts w:ascii="Times New Roman" w:hAnsi="Times New Roman" w:eastAsia="仿宋_GB2312" w:cs="Times New Roman"/>
          <w:bCs/>
          <w:sz w:val="32"/>
          <w:szCs w:val="32"/>
        </w:rPr>
        <w:t>2014）中规定，</w:t>
      </w:r>
      <w:r>
        <w:rPr>
          <w:rFonts w:hint="eastAsia" w:ascii="Times New Roman" w:hAnsi="Times New Roman" w:eastAsia="仿宋_GB2312" w:cs="Times New Roman"/>
          <w:bCs/>
          <w:sz w:val="32"/>
          <w:szCs w:val="32"/>
          <w:lang w:eastAsia="zh-CN"/>
        </w:rPr>
        <w:t>糖果</w:t>
      </w:r>
      <w:r>
        <w:rPr>
          <w:rFonts w:ascii="Times New Roman" w:hAnsi="Times New Roman" w:eastAsia="仿宋_GB2312" w:cs="Times New Roman"/>
          <w:bCs/>
          <w:sz w:val="32"/>
          <w:szCs w:val="32"/>
        </w:rPr>
        <w:t>中苋菜红的最大使用量为0.05g/kg。</w:t>
      </w:r>
      <w:r>
        <w:rPr>
          <w:rFonts w:hint="eastAsia" w:ascii="Times New Roman" w:hAnsi="Times New Roman" w:eastAsia="仿宋_GB2312" w:cs="Times New Roman"/>
          <w:bCs/>
          <w:sz w:val="32"/>
          <w:szCs w:val="32"/>
          <w:lang w:eastAsia="zh-CN"/>
        </w:rPr>
        <w:t>糖果</w:t>
      </w:r>
      <w:r>
        <w:rPr>
          <w:rFonts w:ascii="Times New Roman" w:hAnsi="Times New Roman" w:eastAsia="仿宋_GB2312" w:cs="Times New Roman"/>
          <w:bCs/>
          <w:sz w:val="32"/>
          <w:szCs w:val="32"/>
        </w:rPr>
        <w:t>中苋菜红</w:t>
      </w:r>
      <w:r>
        <w:rPr>
          <w:rFonts w:hint="eastAsia" w:ascii="Times New Roman" w:hAnsi="Times New Roman" w:eastAsia="仿宋_GB2312" w:cs="Times New Roman"/>
          <w:bCs/>
          <w:sz w:val="32"/>
          <w:szCs w:val="32"/>
          <w:lang w:val="en-US" w:eastAsia="zh-CN"/>
        </w:rPr>
        <w:t>检验值</w:t>
      </w:r>
      <w:r>
        <w:rPr>
          <w:rFonts w:ascii="Times New Roman" w:hAnsi="Times New Roman" w:eastAsia="仿宋_GB2312" w:cs="Times New Roman"/>
          <w:bCs/>
          <w:sz w:val="32"/>
          <w:szCs w:val="32"/>
        </w:rPr>
        <w:t>超标的原因，可能是个别生产企业为改善食品的感官性</w:t>
      </w:r>
      <w:r>
        <w:rPr>
          <w:rFonts w:hint="eastAsia" w:eastAsia="仿宋_GB2312" w:cs="Times New Roman"/>
          <w:bCs/>
          <w:sz w:val="32"/>
          <w:szCs w:val="32"/>
          <w:lang w:val="en-US" w:eastAsia="zh-CN"/>
        </w:rPr>
        <w:t>状</w:t>
      </w:r>
      <w:r>
        <w:rPr>
          <w:rFonts w:ascii="Times New Roman" w:hAnsi="Times New Roman" w:eastAsia="仿宋_GB2312" w:cs="Times New Roman"/>
          <w:bCs/>
          <w:sz w:val="32"/>
          <w:szCs w:val="32"/>
        </w:rPr>
        <w:t>，提高市场价值</w:t>
      </w:r>
      <w:r>
        <w:rPr>
          <w:rFonts w:hint="eastAsia" w:eastAsia="仿宋_GB2312" w:cs="Times New Roman"/>
          <w:bCs/>
          <w:sz w:val="32"/>
          <w:szCs w:val="32"/>
          <w:lang w:val="en-US" w:eastAsia="zh-CN"/>
        </w:rPr>
        <w:t>而</w:t>
      </w:r>
      <w:r>
        <w:rPr>
          <w:rFonts w:ascii="Times New Roman" w:hAnsi="Times New Roman" w:eastAsia="仿宋_GB2312" w:cs="Times New Roman"/>
          <w:bCs/>
          <w:sz w:val="32"/>
          <w:szCs w:val="32"/>
        </w:rPr>
        <w:t>滥用色素</w:t>
      </w:r>
      <w:r>
        <w:rPr>
          <w:rFonts w:hint="eastAsia" w:eastAsia="仿宋_GB2312" w:cs="Times New Roman"/>
          <w:bCs/>
          <w:sz w:val="32"/>
          <w:szCs w:val="32"/>
          <w:lang w:eastAsia="zh-CN"/>
        </w:rPr>
        <w:t>；</w:t>
      </w:r>
      <w:r>
        <w:rPr>
          <w:rFonts w:ascii="Times New Roman" w:hAnsi="Times New Roman" w:eastAsia="仿宋_GB2312" w:cs="Times New Roman"/>
          <w:bCs/>
          <w:sz w:val="32"/>
          <w:szCs w:val="32"/>
        </w:rPr>
        <w:t>也可能是</w:t>
      </w:r>
      <w:r>
        <w:rPr>
          <w:rFonts w:hint="eastAsia" w:eastAsia="仿宋_GB2312"/>
          <w:bCs/>
          <w:sz w:val="32"/>
          <w:szCs w:val="32"/>
          <w:lang w:val="en-US" w:eastAsia="zh-CN"/>
        </w:rPr>
        <w:t>企业生产过程中未准确计量</w:t>
      </w:r>
      <w:r>
        <w:rPr>
          <w:rFonts w:ascii="Times New Roman" w:hAnsi="Times New Roman" w:eastAsia="仿宋_GB2312" w:cs="Times New Roman"/>
          <w:bCs/>
          <w:sz w:val="32"/>
          <w:szCs w:val="32"/>
        </w:rPr>
        <w:t>。</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eastAsia="黑体"/>
          <w:spacing w:val="-12"/>
          <w:sz w:val="32"/>
          <w:szCs w:val="32"/>
          <w:lang w:val="en-US" w:eastAsia="zh-CN"/>
        </w:rPr>
      </w:pPr>
      <w:r>
        <w:rPr>
          <w:rFonts w:hint="eastAsia" w:ascii="Times New Roman" w:hAnsi="Times New Roman" w:eastAsia="黑体"/>
          <w:spacing w:val="-12"/>
          <w:sz w:val="32"/>
          <w:szCs w:val="32"/>
          <w:lang w:val="en-US" w:eastAsia="zh-CN"/>
        </w:rPr>
        <w:t>七、</w:t>
      </w:r>
      <w:r>
        <w:rPr>
          <w:rFonts w:hint="eastAsia" w:eastAsia="黑体"/>
          <w:spacing w:val="-12"/>
          <w:sz w:val="32"/>
          <w:szCs w:val="32"/>
          <w:lang w:val="en-US" w:eastAsia="zh-CN"/>
        </w:rPr>
        <w:t>胭脂红</w:t>
      </w:r>
    </w:p>
    <w:p>
      <w:pPr>
        <w:pStyle w:val="19"/>
        <w:keepNext w:val="0"/>
        <w:keepLines w:val="0"/>
        <w:pageBreakBefore w:val="0"/>
        <w:widowControl w:val="0"/>
        <w:kinsoku/>
        <w:wordWrap/>
        <w:overflowPunct/>
        <w:topLinePunct w:val="0"/>
        <w:autoSpaceDE/>
        <w:autoSpaceDN/>
        <w:bidi w:val="0"/>
        <w:adjustRightInd/>
        <w:snapToGrid/>
        <w:spacing w:line="594" w:lineRule="exact"/>
        <w:ind w:firstLine="592"/>
        <w:textAlignment w:val="baseline"/>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rPr>
        <w:t>胭脂红是常见的人工合成着色剂，具有着色力强、性质稳定等特点</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在现代食品</w:t>
      </w:r>
      <w:r>
        <w:rPr>
          <w:rFonts w:hint="eastAsia" w:ascii="Times New Roman" w:hAnsi="Times New Roman" w:eastAsia="仿宋_GB2312" w:cs="Times New Roman"/>
          <w:bCs/>
          <w:sz w:val="32"/>
          <w:szCs w:val="32"/>
          <w:lang w:val="en-US" w:eastAsia="zh-CN"/>
        </w:rPr>
        <w:t>工</w:t>
      </w:r>
      <w:r>
        <w:rPr>
          <w:rFonts w:ascii="Times New Roman" w:hAnsi="Times New Roman" w:eastAsia="仿宋_GB2312" w:cs="Times New Roman"/>
          <w:bCs/>
          <w:sz w:val="32"/>
          <w:szCs w:val="32"/>
        </w:rPr>
        <w:t>业中应用广泛。</w:t>
      </w:r>
      <w:r>
        <w:rPr>
          <w:rFonts w:hint="eastAsia" w:ascii="Times New Roman" w:hAnsi="Times New Roman" w:eastAsia="仿宋_GB2312" w:cs="Times New Roman"/>
          <w:bCs/>
          <w:sz w:val="32"/>
          <w:szCs w:val="32"/>
        </w:rPr>
        <w:t>长期食用</w:t>
      </w:r>
      <w:r>
        <w:rPr>
          <w:rFonts w:hint="eastAsia" w:ascii="Times New Roman" w:hAnsi="Times New Roman" w:eastAsia="仿宋_GB2312" w:cs="Times New Roman"/>
          <w:bCs/>
          <w:sz w:val="32"/>
          <w:szCs w:val="32"/>
          <w:lang w:eastAsia="zh-CN"/>
        </w:rPr>
        <w:t>胭脂红</w:t>
      </w:r>
      <w:r>
        <w:rPr>
          <w:rFonts w:hint="eastAsia" w:ascii="Times New Roman" w:hAnsi="Times New Roman" w:eastAsia="仿宋_GB2312" w:cs="Times New Roman"/>
          <w:bCs/>
          <w:sz w:val="32"/>
          <w:szCs w:val="32"/>
        </w:rPr>
        <w:t>超标的食品，可能危害人体健康</w:t>
      </w:r>
      <w:r>
        <w:rPr>
          <w:rFonts w:ascii="Times New Roman" w:hAnsi="Times New Roman" w:eastAsia="仿宋_GB2312" w:cs="Times New Roman"/>
          <w:bCs/>
          <w:sz w:val="32"/>
          <w:szCs w:val="32"/>
        </w:rPr>
        <w:t>。《食品安全国家标准 食品添加剂使用标准》（GB 2760</w:t>
      </w:r>
      <w:r>
        <w:rPr>
          <w:rFonts w:hint="eastAsia" w:ascii="仿宋_GB2312" w:hAnsi="仿宋_GB2312" w:eastAsia="仿宋_GB2312" w:cs="仿宋_GB2312"/>
          <w:bCs/>
          <w:sz w:val="32"/>
          <w:szCs w:val="32"/>
        </w:rPr>
        <w:t>—</w:t>
      </w:r>
      <w:r>
        <w:rPr>
          <w:rFonts w:ascii="Times New Roman" w:hAnsi="Times New Roman" w:eastAsia="仿宋_GB2312" w:cs="Times New Roman"/>
          <w:bCs/>
          <w:sz w:val="32"/>
          <w:szCs w:val="32"/>
        </w:rPr>
        <w:t>2014）中规定，</w:t>
      </w:r>
      <w:r>
        <w:rPr>
          <w:rFonts w:hint="eastAsia" w:ascii="Times New Roman" w:hAnsi="Times New Roman" w:eastAsia="仿宋_GB2312"/>
          <w:sz w:val="32"/>
          <w:szCs w:val="32"/>
          <w:lang w:val="en-US" w:eastAsia="zh-CN"/>
        </w:rPr>
        <w:t>蜜饯凉果和</w:t>
      </w:r>
      <w:r>
        <w:rPr>
          <w:rFonts w:hint="eastAsia" w:ascii="Times New Roman" w:hAnsi="Times New Roman" w:eastAsia="仿宋_GB2312" w:cs="Times New Roman"/>
          <w:bCs/>
          <w:sz w:val="32"/>
          <w:szCs w:val="32"/>
          <w:highlight w:val="none"/>
          <w:lang w:eastAsia="zh-CN"/>
        </w:rPr>
        <w:t>糖果</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中胭脂红的最大使用量</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均</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为0.05g/kg</w:t>
      </w:r>
      <w:r>
        <w:rPr>
          <w:rFonts w:ascii="Times New Roman" w:hAnsi="Times New Roman" w:eastAsia="仿宋_GB2312" w:cs="Times New Roman"/>
          <w:bCs/>
          <w:sz w:val="32"/>
          <w:szCs w:val="32"/>
          <w:highlight w:val="none"/>
        </w:rPr>
        <w:t>。</w:t>
      </w:r>
      <w:r>
        <w:rPr>
          <w:rFonts w:hint="eastAsia" w:ascii="Times New Roman" w:hAnsi="Times New Roman" w:eastAsia="仿宋_GB2312"/>
          <w:sz w:val="32"/>
          <w:szCs w:val="32"/>
          <w:lang w:val="en-US" w:eastAsia="zh-CN"/>
        </w:rPr>
        <w:t>蜜饯凉果、</w:t>
      </w:r>
      <w:r>
        <w:rPr>
          <w:rFonts w:hint="eastAsia" w:ascii="Times New Roman" w:hAnsi="Times New Roman" w:eastAsia="仿宋_GB2312" w:cs="Times New Roman"/>
          <w:bCs/>
          <w:sz w:val="32"/>
          <w:szCs w:val="32"/>
          <w:highlight w:val="none"/>
          <w:lang w:eastAsia="zh-CN"/>
        </w:rPr>
        <w:t>糖果</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中</w:t>
      </w:r>
      <w:r>
        <w:rPr>
          <w:rFonts w:hint="eastAsia" w:ascii="Times New Roman" w:hAnsi="Times New Roman" w:eastAsia="仿宋_GB2312" w:cs="Times New Roman"/>
          <w:bCs/>
          <w:sz w:val="32"/>
          <w:szCs w:val="32"/>
          <w:highlight w:val="none"/>
          <w:lang w:eastAsia="zh-CN"/>
        </w:rPr>
        <w:t>胭脂红</w:t>
      </w:r>
      <w:r>
        <w:rPr>
          <w:rFonts w:hint="eastAsia" w:ascii="Times New Roman" w:hAnsi="Times New Roman" w:eastAsia="仿宋_GB2312" w:cs="Times New Roman"/>
          <w:bCs/>
          <w:sz w:val="32"/>
          <w:szCs w:val="32"/>
          <w:highlight w:val="none"/>
          <w:lang w:val="en-US" w:eastAsia="zh-CN"/>
        </w:rPr>
        <w:t>检验值</w:t>
      </w:r>
      <w:r>
        <w:rPr>
          <w:rFonts w:ascii="Times New Roman" w:hAnsi="Times New Roman" w:eastAsia="仿宋_GB2312" w:cs="Times New Roman"/>
          <w:bCs/>
          <w:sz w:val="32"/>
          <w:szCs w:val="32"/>
          <w:highlight w:val="none"/>
        </w:rPr>
        <w:t>超标的原因，可能是</w:t>
      </w:r>
      <w:r>
        <w:rPr>
          <w:rFonts w:hint="eastAsia" w:ascii="Times New Roman" w:hAnsi="Times New Roman" w:eastAsia="仿宋_GB2312" w:cs="Times New Roman"/>
          <w:bCs/>
          <w:sz w:val="32"/>
          <w:szCs w:val="32"/>
          <w:highlight w:val="none"/>
          <w:lang w:val="en-US" w:eastAsia="zh-CN"/>
        </w:rPr>
        <w:t>个别</w:t>
      </w:r>
      <w:r>
        <w:rPr>
          <w:rFonts w:ascii="Times New Roman" w:hAnsi="Times New Roman" w:eastAsia="仿宋_GB2312" w:cs="Times New Roman"/>
          <w:bCs/>
          <w:sz w:val="32"/>
          <w:szCs w:val="32"/>
          <w:highlight w:val="none"/>
        </w:rPr>
        <w:t>生产企业为改善食品的感官性</w:t>
      </w:r>
      <w:r>
        <w:rPr>
          <w:rFonts w:hint="eastAsia" w:ascii="Times New Roman" w:hAnsi="Times New Roman" w:eastAsia="仿宋_GB2312" w:cs="Times New Roman"/>
          <w:bCs/>
          <w:sz w:val="32"/>
          <w:szCs w:val="32"/>
          <w:highlight w:val="none"/>
          <w:lang w:val="en-US" w:eastAsia="zh-CN"/>
        </w:rPr>
        <w:t>状</w:t>
      </w:r>
      <w:r>
        <w:rPr>
          <w:rFonts w:ascii="Times New Roman" w:hAnsi="Times New Roman" w:eastAsia="仿宋_GB2312" w:cs="Times New Roman"/>
          <w:bCs/>
          <w:sz w:val="32"/>
          <w:szCs w:val="32"/>
          <w:highlight w:val="none"/>
        </w:rPr>
        <w:t>，提高市场价值</w:t>
      </w:r>
      <w:r>
        <w:rPr>
          <w:rFonts w:hint="eastAsia" w:ascii="Times New Roman" w:hAnsi="Times New Roman" w:eastAsia="仿宋_GB2312" w:cs="Times New Roman"/>
          <w:bCs/>
          <w:sz w:val="32"/>
          <w:szCs w:val="32"/>
          <w:highlight w:val="none"/>
          <w:lang w:val="en-US" w:eastAsia="zh-CN"/>
        </w:rPr>
        <w:t>而</w:t>
      </w:r>
      <w:r>
        <w:rPr>
          <w:rFonts w:ascii="Times New Roman" w:hAnsi="Times New Roman" w:eastAsia="仿宋_GB2312" w:cs="Times New Roman"/>
          <w:bCs/>
          <w:sz w:val="32"/>
          <w:szCs w:val="32"/>
          <w:highlight w:val="none"/>
        </w:rPr>
        <w:t>滥用色素</w:t>
      </w:r>
      <w:r>
        <w:rPr>
          <w:rFonts w:hint="eastAsia" w:ascii="Times New Roman" w:hAnsi="Times New Roman" w:eastAsia="仿宋_GB2312" w:cs="Times New Roman"/>
          <w:bCs/>
          <w:sz w:val="32"/>
          <w:szCs w:val="32"/>
          <w:highlight w:val="none"/>
          <w:lang w:eastAsia="zh-CN"/>
        </w:rPr>
        <w:t>；</w:t>
      </w:r>
      <w:r>
        <w:rPr>
          <w:rFonts w:ascii="Times New Roman" w:hAnsi="Times New Roman" w:eastAsia="仿宋_GB2312" w:cs="Times New Roman"/>
          <w:bCs/>
          <w:sz w:val="32"/>
          <w:szCs w:val="32"/>
          <w:highlight w:val="none"/>
        </w:rPr>
        <w:t>也可能是</w:t>
      </w:r>
      <w:r>
        <w:rPr>
          <w:rFonts w:hint="eastAsia" w:eastAsia="仿宋_GB2312"/>
          <w:bCs/>
          <w:sz w:val="32"/>
          <w:szCs w:val="32"/>
          <w:highlight w:val="none"/>
          <w:lang w:val="en-US" w:eastAsia="zh-CN"/>
        </w:rPr>
        <w:t>企业生产过程中未准确计量</w:t>
      </w:r>
      <w:r>
        <w:rPr>
          <w:rFonts w:ascii="Times New Roman" w:hAnsi="Times New Roman" w:eastAsia="仿宋_GB2312" w:cs="Times New Roman"/>
          <w:bCs/>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eastAsia" w:ascii="Times New Roman" w:hAnsi="Times New Roman" w:eastAsia="黑体" w:cs="Times New Roman"/>
          <w:kern w:val="0"/>
          <w:sz w:val="32"/>
          <w:szCs w:val="32"/>
          <w:lang w:val="en-US" w:eastAsia="zh-CN"/>
        </w:rPr>
        <w:t>八、相同色泽着色剂混合使用时各自用量占其最大使用量的比例之和</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着色剂也称食品色素，是赋予和改善食品色泽的物质。</w:t>
      </w:r>
      <w:r>
        <w:rPr>
          <w:rFonts w:hint="eastAsia" w:ascii="Times New Roman" w:hAnsi="Times New Roman" w:eastAsia="仿宋_GB2312" w:cs="Times New Roman"/>
          <w:bCs/>
          <w:sz w:val="32"/>
          <w:szCs w:val="32"/>
        </w:rPr>
        <w:t>长期食用</w:t>
      </w:r>
      <w:r>
        <w:rPr>
          <w:rFonts w:hint="eastAsia" w:ascii="Times New Roman" w:hAnsi="Times New Roman" w:eastAsia="仿宋_GB2312" w:cs="Times New Roman"/>
          <w:bCs/>
          <w:sz w:val="32"/>
          <w:szCs w:val="32"/>
          <w:lang w:eastAsia="zh-CN"/>
        </w:rPr>
        <w:t>着色剂</w:t>
      </w:r>
      <w:r>
        <w:rPr>
          <w:rFonts w:hint="eastAsia" w:ascii="Times New Roman" w:hAnsi="Times New Roman" w:eastAsia="仿宋_GB2312" w:cs="Times New Roman"/>
          <w:bCs/>
          <w:sz w:val="32"/>
          <w:szCs w:val="32"/>
        </w:rPr>
        <w:t>超标的食品，可能危害人体健康</w:t>
      </w:r>
      <w:r>
        <w:rPr>
          <w:rFonts w:ascii="Times New Roman" w:hAnsi="Times New Roman" w:eastAsia="仿宋_GB2312" w:cs="Times New Roman"/>
          <w:bCs/>
          <w:sz w:val="32"/>
          <w:szCs w:val="32"/>
        </w:rPr>
        <w:t>。</w:t>
      </w:r>
      <w:r>
        <w:rPr>
          <w:rFonts w:ascii="Times New Roman" w:hAnsi="Times New Roman" w:eastAsia="仿宋_GB2312" w:cs="Times New Roman"/>
          <w:bCs/>
          <w:kern w:val="2"/>
          <w:sz w:val="32"/>
          <w:szCs w:val="32"/>
          <w:lang w:val="en-US" w:eastAsia="zh-CN" w:bidi="ar-SA"/>
        </w:rPr>
        <w:t>《食品安全国家标准 食品添加剂使用标准》（GB 2760</w:t>
      </w:r>
      <w:r>
        <w:rPr>
          <w:rFonts w:hint="eastAsia" w:ascii="仿宋_GB2312" w:hAnsi="仿宋_GB2312" w:eastAsia="仿宋_GB2312" w:cs="仿宋_GB2312"/>
          <w:bCs/>
          <w:kern w:val="2"/>
          <w:sz w:val="32"/>
          <w:szCs w:val="32"/>
          <w:lang w:val="en-US" w:eastAsia="zh-CN" w:bidi="ar-SA"/>
        </w:rPr>
        <w:t>—</w:t>
      </w:r>
      <w:r>
        <w:rPr>
          <w:rFonts w:ascii="Times New Roman" w:hAnsi="Times New Roman" w:eastAsia="仿宋_GB2312" w:cs="Times New Roman"/>
          <w:bCs/>
          <w:kern w:val="2"/>
          <w:sz w:val="32"/>
          <w:szCs w:val="32"/>
          <w:lang w:val="en-US" w:eastAsia="zh-CN" w:bidi="ar-SA"/>
        </w:rPr>
        <w:t>2014）中规定，相同色泽着色剂在混合使用时，各自用量占其最大使用量的比例之和不应超过1。</w:t>
      </w:r>
      <w:r>
        <w:rPr>
          <w:rFonts w:hint="eastAsia" w:ascii="Times New Roman" w:hAnsi="Times New Roman" w:eastAsia="仿宋_GB2312" w:cs="Times New Roman"/>
          <w:bCs/>
          <w:kern w:val="2"/>
          <w:sz w:val="32"/>
          <w:szCs w:val="32"/>
          <w:lang w:val="en-US" w:eastAsia="zh-CN" w:bidi="ar-SA"/>
        </w:rPr>
        <w:t>糖果</w:t>
      </w:r>
      <w:r>
        <w:rPr>
          <w:rFonts w:ascii="Times New Roman" w:hAnsi="Times New Roman" w:eastAsia="仿宋_GB2312" w:cs="Times New Roman"/>
          <w:bCs/>
          <w:kern w:val="2"/>
          <w:sz w:val="32"/>
          <w:szCs w:val="32"/>
          <w:lang w:val="en-US" w:eastAsia="zh-CN" w:bidi="ar-SA"/>
        </w:rPr>
        <w:t>中相同色泽着色剂混合使用时各自用量占其最大使用量的比例之和超标的原因，可能是</w:t>
      </w:r>
      <w:r>
        <w:rPr>
          <w:rFonts w:hint="default" w:ascii="Times New Roman" w:hAnsi="Times New Roman" w:eastAsia="仿宋_GB2312" w:cs="Times New Roman"/>
          <w:spacing w:val="0"/>
          <w:sz w:val="32"/>
          <w:szCs w:val="32"/>
        </w:rPr>
        <w:t>生产企业在生产加工过程中未严格控制各</w:t>
      </w:r>
      <w:r>
        <w:rPr>
          <w:rFonts w:hint="eastAsia" w:ascii="Times New Roman" w:hAnsi="Times New Roman" w:eastAsia="仿宋_GB2312" w:cs="Times New Roman"/>
          <w:spacing w:val="0"/>
          <w:sz w:val="32"/>
          <w:szCs w:val="32"/>
          <w:lang w:val="en-US" w:eastAsia="zh-CN"/>
        </w:rPr>
        <w:t>着色</w:t>
      </w:r>
      <w:r>
        <w:rPr>
          <w:rFonts w:hint="default" w:ascii="Times New Roman" w:hAnsi="Times New Roman" w:eastAsia="仿宋_GB2312" w:cs="Times New Roman"/>
          <w:spacing w:val="0"/>
          <w:sz w:val="32"/>
          <w:szCs w:val="32"/>
        </w:rPr>
        <w:t>剂的用量</w:t>
      </w:r>
      <w:r>
        <w:rPr>
          <w:rFonts w:ascii="Times New Roman" w:hAnsi="Times New Roman" w:eastAsia="仿宋_GB2312" w:cs="Times New Roman"/>
          <w:bC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九、</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苯甲酸及其钠盐</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以苯甲酸计</w:t>
      </w:r>
      <w:r>
        <w:rPr>
          <w:rFonts w:hint="eastAsia" w:ascii="黑体" w:hAnsi="黑体" w:eastAsia="黑体" w:cs="黑体"/>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eastAsia" w:ascii="Times New Roman" w:hAnsi="Times New Roman" w:eastAsia="仿宋_GB2312"/>
          <w:sz w:val="32"/>
          <w:szCs w:val="32"/>
          <w:lang w:eastAsia="zh-CN"/>
        </w:rPr>
      </w:pPr>
      <w:r>
        <w:rPr>
          <w:rFonts w:ascii="Times New Roman" w:hAnsi="Times New Roman" w:eastAsia="仿宋_GB2312" w:cs="Times New Roman"/>
          <w:color w:val="000000" w:themeColor="text1"/>
          <w:sz w:val="32"/>
          <w:szCs w:val="32"/>
          <w14:textFill>
            <w14:solidFill>
              <w14:schemeClr w14:val="tx1"/>
            </w14:solidFill>
          </w14:textFill>
        </w:rPr>
        <w:t>苯甲酸及其钠盐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ascii="Times New Roman" w:hAnsi="Times New Roman" w:eastAsia="仿宋_GB2312" w:cs="Times New Roman"/>
          <w:color w:val="000000" w:themeColor="text1"/>
          <w:sz w:val="32"/>
          <w:szCs w:val="32"/>
          <w14:textFill>
            <w14:solidFill>
              <w14:schemeClr w14:val="tx1"/>
            </w14:solidFill>
          </w14:textFill>
        </w:rPr>
        <w:t>是食品工业中常用的一种防腐剂，对霉菌、酵母和细菌有较好的抑制作用。长期食用苯甲酸及其钠盐超标的食品，可能</w:t>
      </w:r>
      <w:r>
        <w:rPr>
          <w:rFonts w:hint="eastAsia" w:ascii="Times New Roman" w:hAnsi="Times New Roman" w:eastAsia="仿宋_GB2312" w:cs="Times New Roman"/>
          <w:color w:val="000000" w:themeColor="text1"/>
          <w:sz w:val="32"/>
          <w:szCs w:val="32"/>
          <w14:textFill>
            <w14:solidFill>
              <w14:schemeClr w14:val="tx1"/>
            </w14:solidFill>
          </w14:textFill>
        </w:rPr>
        <w:t>导致</w:t>
      </w:r>
      <w:r>
        <w:rPr>
          <w:rFonts w:ascii="Times New Roman" w:hAnsi="Times New Roman" w:eastAsia="仿宋_GB2312" w:cs="Times New Roman"/>
          <w:color w:val="000000" w:themeColor="text1"/>
          <w:sz w:val="32"/>
          <w:szCs w:val="32"/>
          <w14:textFill>
            <w14:solidFill>
              <w14:schemeClr w14:val="tx1"/>
            </w14:solidFill>
          </w14:textFill>
        </w:rPr>
        <w:t>肝脏积累性中毒，危害肝脏健康。《食品安全国家标准</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食品添加剂使用标准》（GB</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2760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2014）中规定，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蜜饯凉果</w:t>
      </w:r>
      <w:r>
        <w:rPr>
          <w:rFonts w:hint="eastAsia" w:ascii="Times New Roman" w:hAnsi="Times New Roman" w:eastAsia="仿宋_GB2312"/>
          <w:sz w:val="32"/>
          <w:szCs w:val="32"/>
          <w:highlight w:val="none"/>
          <w:lang w:eastAsia="zh-CN"/>
        </w:rPr>
        <w:t>中</w:t>
      </w:r>
      <w:r>
        <w:rPr>
          <w:rFonts w:ascii="Times New Roman" w:hAnsi="Times New Roman" w:eastAsia="仿宋_GB2312" w:cs="Times New Roman"/>
          <w:color w:val="000000" w:themeColor="text1"/>
          <w:sz w:val="32"/>
          <w:szCs w:val="32"/>
          <w14:textFill>
            <w14:solidFill>
              <w14:schemeClr w14:val="tx1"/>
            </w14:solidFill>
          </w14:textFill>
        </w:rPr>
        <w:t>苯甲酸及其钠盐（以苯甲酸计）</w:t>
      </w:r>
      <w:r>
        <w:rPr>
          <w:rFonts w:hint="eastAsia" w:eastAsia="仿宋_GB2312"/>
          <w:sz w:val="32"/>
          <w:szCs w:val="32"/>
          <w:highlight w:val="none"/>
        </w:rPr>
        <w:t>的</w:t>
      </w:r>
      <w:r>
        <w:rPr>
          <w:rFonts w:hint="eastAsia" w:ascii="Times New Roman" w:hAnsi="Times New Roman" w:eastAsia="仿宋_GB2312"/>
          <w:sz w:val="32"/>
          <w:szCs w:val="32"/>
          <w:highlight w:val="none"/>
        </w:rPr>
        <w:t>最大使用量为0.5g/kg</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蜜饯凉果</w:t>
      </w:r>
      <w:r>
        <w:rPr>
          <w:rFonts w:hint="eastAsia" w:ascii="Times New Roman" w:hAnsi="Times New Roman" w:eastAsia="仿宋_GB2312"/>
          <w:sz w:val="32"/>
          <w:szCs w:val="32"/>
          <w:highlight w:val="none"/>
          <w:lang w:eastAsia="zh-CN"/>
        </w:rPr>
        <w:t>中</w:t>
      </w:r>
      <w:r>
        <w:rPr>
          <w:rFonts w:ascii="Times New Roman" w:hAnsi="Times New Roman" w:eastAsia="仿宋_GB2312" w:cs="Times New Roman"/>
          <w:color w:val="000000" w:themeColor="text1"/>
          <w:sz w:val="32"/>
          <w:szCs w:val="32"/>
          <w14:textFill>
            <w14:solidFill>
              <w14:schemeClr w14:val="tx1"/>
            </w14:solidFill>
          </w14:textFill>
        </w:rPr>
        <w:t>苯甲酸及其钠盐（以苯甲酸计）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值超标</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原因，可能是生产企业为延长产品保质期，或者弥补产品生产过程卫生条件</w:t>
      </w:r>
      <w:r>
        <w:rPr>
          <w:rFonts w:hint="eastAsia" w:ascii="Times New Roman" w:hAnsi="Times New Roman" w:eastAsia="仿宋_GB2312" w:cs="Times New Roman"/>
          <w:color w:val="000000" w:themeColor="text1"/>
          <w:sz w:val="32"/>
          <w:szCs w:val="32"/>
          <w14:textFill>
            <w14:solidFill>
              <w14:schemeClr w14:val="tx1"/>
            </w14:solidFill>
          </w14:textFill>
        </w:rPr>
        <w:t>不佳</w:t>
      </w:r>
      <w:r>
        <w:rPr>
          <w:rFonts w:ascii="Times New Roman" w:hAnsi="Times New Roman" w:eastAsia="仿宋_GB2312" w:cs="Times New Roman"/>
          <w:color w:val="000000" w:themeColor="text1"/>
          <w:sz w:val="32"/>
          <w:szCs w:val="32"/>
          <w14:textFill>
            <w14:solidFill>
              <w14:schemeClr w14:val="tx1"/>
            </w14:solidFill>
          </w14:textFill>
        </w:rPr>
        <w:t>而</w:t>
      </w:r>
      <w:r>
        <w:rPr>
          <w:rFonts w:hint="eastAsia" w:ascii="Times New Roman" w:hAnsi="Times New Roman" w:eastAsia="仿宋_GB2312" w:cs="Times New Roman"/>
          <w:color w:val="000000" w:themeColor="text1"/>
          <w:sz w:val="32"/>
          <w:szCs w:val="32"/>
          <w14:textFill>
            <w14:solidFill>
              <w14:schemeClr w14:val="tx1"/>
            </w14:solidFill>
          </w14:textFill>
        </w:rPr>
        <w:t>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限量</w:t>
      </w:r>
      <w:r>
        <w:rPr>
          <w:rFonts w:ascii="Times New Roman" w:hAnsi="Times New Roman" w:eastAsia="仿宋_GB2312" w:cs="Times New Roman"/>
          <w:color w:val="000000" w:themeColor="text1"/>
          <w:sz w:val="32"/>
          <w:szCs w:val="32"/>
          <w14:textFill>
            <w14:solidFill>
              <w14:schemeClr w14:val="tx1"/>
            </w14:solidFill>
          </w14:textFill>
        </w:rPr>
        <w:t>使用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sz w:val="32"/>
          <w:szCs w:val="32"/>
        </w:rPr>
        <w:t>也可能是在使用过程中未准确计量</w:t>
      </w:r>
      <w:r>
        <w:rPr>
          <w:rFonts w:hint="eastAsia" w:ascii="Times New Roman" w:hAnsi="Times New Roman" w:eastAsia="仿宋_GB2312"/>
          <w:sz w:val="32"/>
          <w:szCs w:val="32"/>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ascii="Times New Roman" w:hAnsi="Times New Roman" w:eastAsia="仿宋_GB2312"/>
          <w:sz w:val="32"/>
          <w:szCs w:val="32"/>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十</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eastAsia" w:eastAsia="黑体" w:cs="Times New Roman"/>
          <w:color w:val="000000" w:themeColor="text1"/>
          <w:sz w:val="32"/>
          <w:szCs w:val="32"/>
          <w:highlight w:val="none"/>
          <w:lang w:eastAsia="zh-CN"/>
          <w14:textFill>
            <w14:solidFill>
              <w14:schemeClr w14:val="tx1"/>
            </w14:solidFill>
          </w14:textFill>
        </w:rPr>
        <w:t>甜蜜素（</w:t>
      </w:r>
      <w:r>
        <w:rPr>
          <w:rFonts w:hint="eastAsia" w:eastAsia="黑体" w:cs="Times New Roman"/>
          <w:color w:val="000000" w:themeColor="text1"/>
          <w:sz w:val="32"/>
          <w:szCs w:val="32"/>
          <w:highlight w:val="none"/>
          <w:lang w:val="en-US" w:eastAsia="zh-CN"/>
          <w14:textFill>
            <w14:solidFill>
              <w14:schemeClr w14:val="tx1"/>
            </w14:solidFill>
          </w14:textFill>
        </w:rPr>
        <w:t>以环己基氨基磺酸计</w:t>
      </w:r>
      <w:r>
        <w:rPr>
          <w:rFonts w:hint="eastAsia" w:eastAsia="黑体"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z w:val="32"/>
          <w:szCs w:val="32"/>
          <w:lang w:eastAsia="zh-CN"/>
        </w:rPr>
        <w:t>甜蜜素，</w:t>
      </w:r>
      <w:r>
        <w:rPr>
          <w:rFonts w:hint="default" w:ascii="Times New Roman" w:hAnsi="Times New Roman" w:eastAsia="仿宋_GB2312" w:cs="Times New Roman"/>
          <w:sz w:val="32"/>
          <w:szCs w:val="32"/>
          <w:lang w:val="en-US" w:eastAsia="zh-CN"/>
        </w:rPr>
        <w:t>化学名称为</w:t>
      </w:r>
      <w:r>
        <w:rPr>
          <w:rFonts w:hint="default" w:ascii="Times New Roman" w:hAnsi="Times New Roman" w:eastAsia="仿宋_GB2312" w:cs="Times New Roman"/>
          <w:sz w:val="32"/>
          <w:szCs w:val="32"/>
          <w:lang w:eastAsia="zh-CN"/>
        </w:rPr>
        <w:t>环己基氨基磺酸钠，是食品生产中常用的</w:t>
      </w: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"https://baike.baidu.com/item/%E6%B7%BB%E5%8A%A0%E5%89%82/5134870" \t "https://baike.baidu.com/item/%E7%94%9C%E8%9C%9C%E7%B4%A0/_blank"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val="en-US" w:eastAsia="zh-CN"/>
        </w:rPr>
        <w:t>甜味</w:t>
      </w:r>
      <w:r>
        <w:rPr>
          <w:rFonts w:hint="default" w:ascii="Times New Roman" w:hAnsi="Times New Roman" w:eastAsia="仿宋_GB2312" w:cs="Times New Roman"/>
          <w:sz w:val="32"/>
          <w:szCs w:val="32"/>
          <w:lang w:eastAsia="zh-CN"/>
        </w:rPr>
        <w:t>剂</w:t>
      </w:r>
      <w:r>
        <w:rPr>
          <w:rFonts w:hint="default" w:ascii="Times New Roman" w:hAnsi="Times New Roman" w:eastAsia="仿宋_GB2312" w:cs="Times New Roman"/>
          <w:sz w:val="32"/>
          <w:szCs w:val="32"/>
          <w:lang w:eastAsia="zh-CN"/>
        </w:rPr>
        <w:fldChar w:fldCharType="end"/>
      </w:r>
      <w:r>
        <w:rPr>
          <w:rFonts w:hint="default" w:ascii="Times New Roman" w:hAnsi="Times New Roman" w:eastAsia="仿宋_GB2312" w:cs="Times New Roman"/>
          <w:sz w:val="32"/>
          <w:szCs w:val="32"/>
          <w:lang w:eastAsia="zh-CN"/>
        </w:rPr>
        <w:t>之一</w:t>
      </w:r>
      <w:r>
        <w:rPr>
          <w:rFonts w:hint="default" w:ascii="Times New Roman" w:hAnsi="Times New Roman" w:eastAsia="仿宋_GB2312" w:cs="Times New Roman"/>
          <w:sz w:val="32"/>
          <w:szCs w:val="32"/>
          <w:lang w:val="en-US" w:eastAsia="zh-CN"/>
        </w:rPr>
        <w:t>，甜度是蔗糖的40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50倍。长期摄入甜蜜素超标的食品，可能会对人体的肝脏和神经系统造成一定危害。</w:t>
      </w:r>
      <w:r>
        <w:rPr>
          <w:rFonts w:hint="default" w:ascii="Times New Roman" w:hAnsi="Times New Roman" w:eastAsia="仿宋_GB2312" w:cs="Times New Roman"/>
          <w:sz w:val="32"/>
          <w:szCs w:val="32"/>
          <w:lang w:eastAsia="zh-CN"/>
        </w:rPr>
        <w:t>《食品</w:t>
      </w:r>
      <w:r>
        <w:rPr>
          <w:rFonts w:hint="default" w:ascii="Times New Roman" w:hAnsi="Times New Roman" w:eastAsia="仿宋_GB2312" w:cs="Times New Roman"/>
          <w:sz w:val="32"/>
          <w:szCs w:val="32"/>
          <w:lang w:val="en-US" w:eastAsia="zh-CN"/>
        </w:rPr>
        <w:t>安全国家标准 食品添加剂使用标准</w:t>
      </w:r>
      <w:r>
        <w:rPr>
          <w:rFonts w:hint="default" w:ascii="Times New Roman" w:hAnsi="Times New Roman" w:eastAsia="仿宋_GB2312" w:cs="Times New Roman"/>
          <w:sz w:val="32"/>
          <w:szCs w:val="32"/>
          <w:highlight w:val="none"/>
          <w:lang w:val="en-US" w:eastAsia="zh-CN"/>
        </w:rPr>
        <w:t>》（GB 2760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highlight w:val="none"/>
          <w:lang w:val="en-US" w:eastAsia="zh-CN"/>
        </w:rPr>
        <w:t>2014）中规定，</w:t>
      </w:r>
      <w:r>
        <w:rPr>
          <w:rFonts w:hint="default" w:ascii="Times New Roman" w:hAnsi="Times New Roman" w:eastAsia="仿宋_GB2312" w:cs="Times New Roman"/>
          <w:sz w:val="32"/>
          <w:szCs w:val="32"/>
        </w:rPr>
        <w:t>话化类</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甜蜜素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以环己基氨基磺酸计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最大使用量为8.0g/kg。话化类中甜蜜素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以环己基氨基磺酸计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检验值</w:t>
      </w:r>
      <w:r>
        <w:rPr>
          <w:rFonts w:hint="default" w:ascii="Times New Roman" w:hAnsi="Times New Roman" w:eastAsia="仿宋_GB2312" w:cs="Times New Roman"/>
          <w:sz w:val="32"/>
          <w:szCs w:val="32"/>
        </w:rPr>
        <w:t>超标</w:t>
      </w:r>
      <w:r>
        <w:rPr>
          <w:rFonts w:hint="eastAsia" w:ascii="Times New Roman" w:hAnsi="Times New Roman" w:eastAsia="仿宋_GB2312" w:cs="Times New Roman"/>
          <w:sz w:val="32"/>
          <w:szCs w:val="32"/>
          <w:lang w:val="en-US" w:eastAsia="zh-CN"/>
        </w:rPr>
        <w:t>的原因，</w:t>
      </w:r>
      <w:r>
        <w:rPr>
          <w:rFonts w:hint="default" w:ascii="Times New Roman" w:hAnsi="Times New Roman" w:eastAsia="仿宋_GB2312" w:cs="Times New Roman"/>
          <w:sz w:val="32"/>
          <w:szCs w:val="32"/>
        </w:rPr>
        <w:t>可能是</w:t>
      </w:r>
      <w:r>
        <w:rPr>
          <w:rFonts w:hint="default" w:ascii="Times New Roman" w:hAnsi="Times New Roman" w:eastAsia="仿宋_GB2312" w:cs="Times New Roman"/>
          <w:sz w:val="32"/>
          <w:szCs w:val="32"/>
          <w:lang w:eastAsia="zh-CN"/>
        </w:rPr>
        <w:t>因为</w:t>
      </w:r>
      <w:r>
        <w:rPr>
          <w:rFonts w:hint="default" w:ascii="Times New Roman" w:hAnsi="Times New Roman" w:eastAsia="仿宋_GB2312" w:cs="Times New Roman"/>
          <w:sz w:val="32"/>
          <w:szCs w:val="32"/>
        </w:rPr>
        <w:t>生产企业为</w:t>
      </w:r>
      <w:r>
        <w:rPr>
          <w:rFonts w:hint="default" w:ascii="Times New Roman" w:hAnsi="Times New Roman" w:eastAsia="仿宋_GB2312" w:cs="Times New Roman"/>
          <w:sz w:val="32"/>
          <w:szCs w:val="32"/>
          <w:lang w:eastAsia="zh-CN"/>
        </w:rPr>
        <w:t>降低成本而</w:t>
      </w:r>
      <w:r>
        <w:rPr>
          <w:rFonts w:hint="default" w:ascii="Times New Roman" w:hAnsi="Times New Roman" w:eastAsia="仿宋_GB2312" w:cs="Times New Roman"/>
          <w:sz w:val="32"/>
          <w:szCs w:val="32"/>
        </w:rPr>
        <w:t>超限量</w:t>
      </w:r>
      <w:r>
        <w:rPr>
          <w:rFonts w:hint="default" w:ascii="Times New Roman" w:hAnsi="Times New Roman" w:eastAsia="仿宋_GB2312" w:cs="Times New Roman"/>
          <w:sz w:val="32"/>
          <w:szCs w:val="32"/>
          <w:lang w:eastAsia="zh-CN"/>
        </w:rPr>
        <w:t>使用</w:t>
      </w:r>
      <w:r>
        <w:rPr>
          <w:rFonts w:hint="default" w:ascii="Times New Roman" w:hAnsi="Times New Roman" w:eastAsia="仿宋_GB2312" w:cs="Times New Roman"/>
          <w:sz w:val="32"/>
          <w:szCs w:val="32"/>
        </w:rPr>
        <w:t>甜蜜素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lang w:eastAsia="zh-CN"/>
        </w:rPr>
        <w:t>生产过程计量不准导致</w:t>
      </w:r>
      <w:r>
        <w:rPr>
          <w:rFonts w:hint="default" w:ascii="Times New Roman" w:hAnsi="Times New Roman" w:eastAsia="仿宋_GB2312" w:cs="Times New Roman"/>
          <w:sz w:val="32"/>
          <w:szCs w:val="32"/>
        </w:rPr>
        <w:t>甜蜜素超标。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rPr>
      </w:pPr>
      <w:r>
        <w:rPr>
          <w:rFonts w:hint="eastAsia" w:ascii="Times New Roman" w:hAnsi="Times New Roman" w:eastAsia="黑体" w:cs="Times New Roman"/>
          <w:spacing w:val="0"/>
          <w:sz w:val="32"/>
          <w:szCs w:val="32"/>
          <w:lang w:val="en-US" w:eastAsia="zh-CN"/>
        </w:rPr>
        <w:t>十一、</w:t>
      </w:r>
      <w:r>
        <w:rPr>
          <w:rFonts w:hint="default" w:ascii="Times New Roman" w:hAnsi="Times New Roman" w:eastAsia="黑体" w:cs="Times New Roman"/>
          <w:sz w:val="32"/>
          <w:szCs w:val="32"/>
          <w:lang w:val="en-US" w:eastAsia="zh-CN"/>
        </w:rPr>
        <w:t>维生素</w:t>
      </w:r>
      <w:r>
        <w:rPr>
          <w:rFonts w:hint="eastAsia" w:ascii="黑体" w:hAnsi="黑体" w:eastAsia="黑体" w:cs="黑体"/>
          <w:sz w:val="32"/>
          <w:szCs w:val="32"/>
          <w:lang w:val="en-US" w:eastAsia="zh-CN"/>
        </w:rPr>
        <w:t>A</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z w:val="32"/>
          <w:szCs w:val="32"/>
          <w:lang w:val="en-US" w:eastAsia="zh-CN"/>
        </w:rPr>
        <w:t>维生素A是</w:t>
      </w:r>
      <w:r>
        <w:rPr>
          <w:rFonts w:hint="eastAsia" w:ascii="Times New Roman" w:hAnsi="Times New Roman" w:eastAsia="仿宋_GB2312" w:cs="Times New Roman"/>
          <w:sz w:val="32"/>
          <w:szCs w:val="32"/>
          <w:lang w:val="en-US" w:eastAsia="zh-CN"/>
        </w:rPr>
        <w:t>一种</w:t>
      </w:r>
      <w:r>
        <w:rPr>
          <w:rFonts w:hint="default" w:ascii="Times New Roman" w:hAnsi="Times New Roman" w:eastAsia="仿宋_GB2312" w:cs="Times New Roman"/>
          <w:sz w:val="32"/>
          <w:szCs w:val="32"/>
          <w:lang w:val="en-US" w:eastAsia="zh-CN"/>
        </w:rPr>
        <w:t>脂溶性维生素，</w:t>
      </w:r>
      <w:r>
        <w:rPr>
          <w:rFonts w:hint="eastAsia" w:ascii="Times New Roman" w:hAnsi="Times New Roman" w:eastAsia="仿宋_GB2312" w:cs="Times New Roman"/>
          <w:sz w:val="32"/>
          <w:szCs w:val="32"/>
          <w:lang w:val="en-US" w:eastAsia="zh-CN"/>
        </w:rPr>
        <w:t>在人体代谢过程中发挥重要作用，是</w:t>
      </w:r>
      <w:r>
        <w:rPr>
          <w:rFonts w:hint="default" w:ascii="Times New Roman" w:hAnsi="Times New Roman" w:eastAsia="仿宋_GB2312" w:cs="Times New Roman"/>
          <w:sz w:val="32"/>
          <w:szCs w:val="32"/>
          <w:lang w:val="en-US" w:eastAsia="zh-CN"/>
        </w:rPr>
        <w:t>婴幼儿生长发育不可缺少</w:t>
      </w:r>
      <w:r>
        <w:rPr>
          <w:rFonts w:hint="eastAsia" w:ascii="Times New Roman" w:hAnsi="Times New Roman" w:eastAsia="仿宋_GB2312" w:cs="Times New Roman"/>
          <w:sz w:val="32"/>
          <w:szCs w:val="32"/>
          <w:lang w:val="en-US" w:eastAsia="zh-CN"/>
        </w:rPr>
        <w:t>的微量营养素</w:t>
      </w:r>
      <w:r>
        <w:rPr>
          <w:rFonts w:hint="default" w:ascii="Times New Roman" w:hAnsi="Times New Roman" w:eastAsia="仿宋_GB2312" w:cs="Times New Roman"/>
          <w:sz w:val="32"/>
          <w:szCs w:val="32"/>
          <w:lang w:val="en-US" w:eastAsia="zh-CN"/>
        </w:rPr>
        <w:t>。维生素A缺乏可能引起夜盲症、干眼症等眼部症状，还可能会导致食欲减退、免疫功能低下，造成婴幼儿生长发育迟缓。《食品安全国家标准 婴幼儿谷类辅助食品》（GB 10769</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2010）中规定，婴幼儿谷类辅助食品中维生素A含量应在14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43μgRE/100kJ范围内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lang w:val="en-US" w:eastAsia="zh-CN"/>
        </w:rPr>
        <w:t>31601—2015</w:t>
      </w:r>
      <w:r>
        <w:rPr>
          <w:rFonts w:hint="default"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孕妇及乳母营养补充食品中维生素A含量</w:t>
      </w:r>
      <w:r>
        <w:rPr>
          <w:rFonts w:hint="default" w:ascii="Times New Roman" w:hAnsi="Times New Roman" w:eastAsia="仿宋_GB2312" w:cs="Times New Roman"/>
          <w:sz w:val="32"/>
          <w:szCs w:val="32"/>
          <w:lang w:val="en-US" w:eastAsia="zh-CN"/>
        </w:rPr>
        <w:t>（以每日计）</w:t>
      </w:r>
      <w:r>
        <w:rPr>
          <w:rFonts w:hint="eastAsia" w:ascii="Times New Roman" w:hAnsi="Times New Roman" w:eastAsia="仿宋_GB2312" w:cs="Times New Roman"/>
          <w:sz w:val="32"/>
          <w:szCs w:val="32"/>
          <w:lang w:val="en-US" w:eastAsia="zh-CN"/>
        </w:rPr>
        <w:t>应在400—</w:t>
      </w:r>
      <w:r>
        <w:rPr>
          <w:rFonts w:hint="eastAsia" w:ascii="Times New Roman" w:hAnsi="Times New Roman" w:eastAsia="仿宋_GB2312" w:cs="Times New Roman"/>
          <w:sz w:val="32"/>
          <w:lang w:val="en-US" w:eastAsia="zh-CN"/>
        </w:rPr>
        <w:t>700</w:t>
      </w:r>
      <w:r>
        <w:rPr>
          <w:rFonts w:hint="default" w:ascii="Times New Roman" w:hAnsi="Times New Roman" w:eastAsia="仿宋_GB2312" w:cs="Times New Roman"/>
          <w:sz w:val="32"/>
          <w:szCs w:val="32"/>
        </w:rPr>
        <w:t>μg范围内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婴幼儿谷类辅助食品</w:t>
      </w:r>
      <w:r>
        <w:rPr>
          <w:rFonts w:hint="eastAsia" w:ascii="Times New Roman" w:hAnsi="Times New Roman" w:eastAsia="仿宋_GB2312" w:cs="Times New Roman"/>
          <w:sz w:val="32"/>
          <w:szCs w:val="32"/>
          <w:lang w:val="en-US" w:eastAsia="zh-CN"/>
        </w:rPr>
        <w:t>、孕妇及乳母营养补充食品</w:t>
      </w:r>
      <w:r>
        <w:rPr>
          <w:rFonts w:hint="default" w:ascii="Times New Roman" w:hAnsi="Times New Roman" w:eastAsia="仿宋_GB2312" w:cs="Times New Roman"/>
          <w:sz w:val="32"/>
          <w:szCs w:val="32"/>
          <w:lang w:val="en-US" w:eastAsia="zh-CN"/>
        </w:rPr>
        <w:t>中维生素A含量不达标的原因，可能是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rPr>
        <w:t>可能是在加工或储存过程中损失。</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both"/>
        <w:textAlignment w:val="auto"/>
        <w:rPr>
          <w:rFonts w:hint="eastAsia" w:ascii="黑体" w:hAnsi="黑体" w:eastAsia="黑体" w:cs="黑体"/>
          <w:spacing w:val="0"/>
          <w:sz w:val="32"/>
          <w:szCs w:val="32"/>
          <w:lang w:val="en-US" w:eastAsia="zh-CN"/>
        </w:rPr>
      </w:pPr>
      <w:r>
        <w:rPr>
          <w:rFonts w:hint="eastAsia" w:ascii="Times New Roman" w:hAnsi="Times New Roman" w:eastAsia="黑体" w:cs="Times New Roman"/>
          <w:spacing w:val="0"/>
          <w:sz w:val="32"/>
          <w:szCs w:val="32"/>
          <w:lang w:val="en-US" w:eastAsia="zh-CN"/>
        </w:rPr>
        <w:t>十二</w:t>
      </w:r>
      <w:r>
        <w:rPr>
          <w:rFonts w:hint="default" w:ascii="Times New Roman" w:hAnsi="Times New Roman" w:eastAsia="黑体" w:cs="Times New Roman"/>
          <w:spacing w:val="0"/>
          <w:sz w:val="32"/>
          <w:szCs w:val="32"/>
        </w:rPr>
        <w:t>、</w:t>
      </w:r>
      <w:r>
        <w:rPr>
          <w:rFonts w:hint="eastAsia" w:ascii="黑体" w:hAnsi="黑体" w:eastAsia="黑体" w:cs="黑体"/>
          <w:sz w:val="32"/>
          <w:szCs w:val="32"/>
          <w:lang w:val="en-US" w:eastAsia="zh-CN"/>
        </w:rPr>
        <w:t>维生素</w:t>
      </w:r>
      <w:r>
        <w:rPr>
          <w:rFonts w:hint="eastAsia" w:ascii="黑体" w:hAnsi="黑体" w:eastAsia="黑体" w:cs="黑体"/>
          <w:spacing w:val="0"/>
          <w:sz w:val="32"/>
          <w:szCs w:val="32"/>
          <w:lang w:val="en-US" w:eastAsia="zh-CN"/>
        </w:rPr>
        <w:t>B</w:t>
      </w:r>
      <w:r>
        <w:rPr>
          <w:rFonts w:hint="eastAsia" w:ascii="黑体" w:hAnsi="黑体" w:eastAsia="黑体" w:cs="黑体"/>
          <w:spacing w:val="0"/>
          <w:sz w:val="32"/>
          <w:szCs w:val="32"/>
          <w:vertAlign w:val="subscript"/>
          <w:lang w:val="en-US" w:eastAsia="zh-CN"/>
        </w:rPr>
        <w:t>1</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kern w:val="2"/>
          <w:sz w:val="32"/>
          <w:szCs w:val="32"/>
          <w:lang w:val="en-US" w:eastAsia="zh-CN" w:bidi="ar-SA"/>
        </w:rPr>
        <w:t>维生素B</w:t>
      </w:r>
      <w:r>
        <w:rPr>
          <w:rFonts w:hint="default" w:ascii="Times New Roman" w:hAnsi="Times New Roman" w:eastAsia="仿宋_GB2312" w:cs="Times New Roman"/>
          <w:kern w:val="2"/>
          <w:sz w:val="32"/>
          <w:szCs w:val="32"/>
          <w:vertAlign w:val="subscript"/>
          <w:lang w:val="en-US" w:eastAsia="zh-CN" w:bidi="ar-SA"/>
        </w:rPr>
        <w:t>1</w:t>
      </w:r>
      <w:r>
        <w:rPr>
          <w:rFonts w:hint="default" w:ascii="Times New Roman" w:hAnsi="Times New Roman" w:eastAsia="仿宋_GB2312" w:cs="Times New Roman"/>
          <w:kern w:val="2"/>
          <w:sz w:val="32"/>
          <w:szCs w:val="32"/>
          <w:lang w:val="en-US" w:eastAsia="zh-CN" w:bidi="ar-SA"/>
        </w:rPr>
        <w:t>是一种水溶性维生素，能够参与人体内能量代谢，对维持神经、肌肉特别是心肌正常功能方面有重要作用。维生素B</w:t>
      </w:r>
      <w:r>
        <w:rPr>
          <w:rFonts w:hint="default" w:ascii="Times New Roman" w:hAnsi="Times New Roman" w:eastAsia="仿宋_GB2312" w:cs="Times New Roman"/>
          <w:kern w:val="2"/>
          <w:sz w:val="32"/>
          <w:szCs w:val="32"/>
          <w:vertAlign w:val="subscript"/>
          <w:lang w:val="en-US" w:eastAsia="zh-CN" w:bidi="ar-SA"/>
        </w:rPr>
        <w:t>1</w:t>
      </w:r>
      <w:r>
        <w:rPr>
          <w:rFonts w:hint="default" w:ascii="Times New Roman" w:hAnsi="Times New Roman" w:eastAsia="仿宋_GB2312" w:cs="Times New Roman"/>
          <w:kern w:val="2"/>
          <w:sz w:val="32"/>
          <w:szCs w:val="32"/>
          <w:lang w:val="en-US" w:eastAsia="zh-CN" w:bidi="ar-SA"/>
        </w:rPr>
        <w:t>缺乏容易导致人体产生疲劳，还可能引起脚气病等神经</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血管系统损伤</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《食品安全国家标准 婴幼儿谷类辅助食品》（GB 10769</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2010）中规定，婴幼儿谷类辅助食品中维生素B</w:t>
      </w:r>
      <w:r>
        <w:rPr>
          <w:rFonts w:hint="default" w:ascii="Times New Roman" w:hAnsi="Times New Roman" w:eastAsia="仿宋_GB2312" w:cs="Times New Roman"/>
          <w:kern w:val="2"/>
          <w:sz w:val="32"/>
          <w:szCs w:val="32"/>
          <w:vertAlign w:val="subscript"/>
          <w:lang w:val="en-US" w:eastAsia="zh-CN" w:bidi="ar-SA"/>
        </w:rPr>
        <w:t>1</w:t>
      </w:r>
      <w:r>
        <w:rPr>
          <w:rFonts w:hint="default" w:ascii="Times New Roman" w:hAnsi="Times New Roman" w:eastAsia="仿宋_GB2312" w:cs="Times New Roman"/>
          <w:kern w:val="2"/>
          <w:sz w:val="32"/>
          <w:szCs w:val="32"/>
          <w:lang w:val="en-US" w:eastAsia="zh-CN" w:bidi="ar-SA"/>
        </w:rPr>
        <w:t>含量应</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12.5μg/100kJ</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婴幼儿谷类辅助食品中维生素B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z w:val="32"/>
          <w:szCs w:val="32"/>
          <w:lang w:val="en-US" w:eastAsia="zh-CN"/>
        </w:rPr>
      </w:pPr>
      <w:r>
        <w:rPr>
          <w:rFonts w:hint="eastAsia" w:ascii="黑体" w:hAnsi="黑体" w:eastAsia="黑体" w:cs="黑体"/>
          <w:spacing w:val="-12"/>
          <w:kern w:val="2"/>
          <w:sz w:val="32"/>
          <w:szCs w:val="32"/>
          <w:lang w:val="en-US" w:eastAsia="zh-CN" w:bidi="ar-SA"/>
        </w:rPr>
        <w:t>十三、</w:t>
      </w:r>
      <w:r>
        <w:rPr>
          <w:rFonts w:hint="default" w:ascii="Times New Roman" w:hAnsi="Times New Roman" w:eastAsia="黑体" w:cs="Times New Roman"/>
          <w:sz w:val="32"/>
          <w:szCs w:val="32"/>
          <w:lang w:val="en-US" w:eastAsia="zh-CN"/>
        </w:rPr>
        <w:t>维生素</w:t>
      </w:r>
      <w:r>
        <w:rPr>
          <w:rFonts w:hint="eastAsia" w:ascii="黑体" w:hAnsi="黑体" w:eastAsia="黑体" w:cs="黑体"/>
          <w:spacing w:val="0"/>
          <w:sz w:val="32"/>
          <w:szCs w:val="32"/>
          <w:lang w:val="en-US" w:eastAsia="zh-CN"/>
        </w:rPr>
        <w:t>B</w:t>
      </w:r>
      <w:r>
        <w:rPr>
          <w:rFonts w:hint="eastAsia" w:ascii="黑体" w:hAnsi="黑体" w:eastAsia="黑体" w:cs="黑体"/>
          <w:spacing w:val="0"/>
          <w:sz w:val="32"/>
          <w:szCs w:val="32"/>
          <w:vertAlign w:val="subscript"/>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仿宋_GB2312" w:cs="Times New Roman"/>
          <w:kern w:val="2"/>
          <w:sz w:val="32"/>
          <w:szCs w:val="32"/>
          <w:lang w:val="en-US" w:eastAsia="zh-CN" w:bidi="ar-SA"/>
        </w:rPr>
        <w:t>维生素B</w:t>
      </w:r>
      <w:r>
        <w:rPr>
          <w:rFonts w:hint="default" w:ascii="Times New Roman" w:hAnsi="Times New Roman" w:eastAsia="仿宋_GB2312" w:cs="Times New Roman"/>
          <w:kern w:val="2"/>
          <w:sz w:val="32"/>
          <w:szCs w:val="32"/>
          <w:vertAlign w:val="subscript"/>
          <w:lang w:val="en-US" w:eastAsia="zh-CN" w:bidi="ar-SA"/>
        </w:rPr>
        <w:t>2</w:t>
      </w:r>
      <w:r>
        <w:rPr>
          <w:rFonts w:hint="default" w:ascii="Times New Roman" w:hAnsi="Times New Roman" w:eastAsia="仿宋_GB2312" w:cs="Times New Roman"/>
          <w:kern w:val="2"/>
          <w:sz w:val="32"/>
          <w:szCs w:val="32"/>
          <w:lang w:val="en-US" w:eastAsia="zh-CN" w:bidi="ar-SA"/>
        </w:rPr>
        <w:t>是一种水溶性维生素，能够参与体内生物氧化与能量代谢。维生素B</w:t>
      </w:r>
      <w:r>
        <w:rPr>
          <w:rFonts w:hint="default" w:ascii="Times New Roman" w:hAnsi="Times New Roman" w:eastAsia="仿宋_GB2312" w:cs="Times New Roman"/>
          <w:kern w:val="2"/>
          <w:sz w:val="32"/>
          <w:szCs w:val="32"/>
          <w:vertAlign w:val="subscript"/>
          <w:lang w:val="en-US" w:eastAsia="zh-CN" w:bidi="ar-SA"/>
        </w:rPr>
        <w:t>2</w:t>
      </w:r>
      <w:r>
        <w:rPr>
          <w:rFonts w:hint="default" w:ascii="Times New Roman" w:hAnsi="Times New Roman" w:eastAsia="仿宋_GB2312" w:cs="Times New Roman"/>
          <w:kern w:val="2"/>
          <w:sz w:val="32"/>
          <w:szCs w:val="32"/>
          <w:lang w:val="en-US" w:eastAsia="zh-CN" w:bidi="ar-SA"/>
        </w:rPr>
        <w:t>缺乏可能会导致疲倦乏力、口腔疼痛，严重时可引起维生素B</w:t>
      </w:r>
      <w:r>
        <w:rPr>
          <w:rFonts w:hint="default" w:ascii="Times New Roman" w:hAnsi="Times New Roman" w:eastAsia="仿宋_GB2312" w:cs="Times New Roman"/>
          <w:kern w:val="2"/>
          <w:sz w:val="32"/>
          <w:szCs w:val="32"/>
          <w:vertAlign w:val="subscript"/>
          <w:lang w:val="en-US" w:eastAsia="zh-CN" w:bidi="ar-SA"/>
        </w:rPr>
        <w:t>2</w:t>
      </w:r>
      <w:r>
        <w:rPr>
          <w:rFonts w:hint="default" w:ascii="Times New Roman" w:hAnsi="Times New Roman" w:eastAsia="仿宋_GB2312" w:cs="Times New Roman"/>
          <w:kern w:val="2"/>
          <w:sz w:val="32"/>
          <w:szCs w:val="32"/>
          <w:lang w:val="en-US" w:eastAsia="zh-CN" w:bidi="ar-SA"/>
        </w:rPr>
        <w:t>缺乏病；长期缺乏可能会导致婴幼儿生长迟缓。</w:t>
      </w:r>
      <w:r>
        <w:rPr>
          <w:rFonts w:hint="default" w:ascii="Times New Roman" w:hAnsi="Times New Roman" w:eastAsia="仿宋_GB2312" w:cs="Times New Roman"/>
          <w:sz w:val="32"/>
          <w:szCs w:val="32"/>
        </w:rPr>
        <w:t xml:space="preserve">《食品安全国家标准 </w:t>
      </w:r>
      <w:r>
        <w:rPr>
          <w:rFonts w:hint="default" w:ascii="Times New Roman" w:hAnsi="Times New Roman" w:eastAsia="仿宋_GB2312" w:cs="Times New Roman"/>
          <w:sz w:val="32"/>
          <w:szCs w:val="32"/>
          <w:lang w:val="en-US" w:eastAsia="zh-CN"/>
        </w:rPr>
        <w:t>婴幼儿谷类辅助食品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10769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2010</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婴幼儿谷类辅助食品中维生素B</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含量</w:t>
      </w:r>
      <w:r>
        <w:rPr>
          <w:rFonts w:hint="default" w:ascii="Times New Roman" w:hAnsi="Times New Roman" w:eastAsia="仿宋_GB2312" w:cs="Times New Roman"/>
          <w:sz w:val="32"/>
          <w:szCs w:val="32"/>
        </w:rPr>
        <w:t>应</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13.0</w:t>
      </w:r>
      <w:r>
        <w:rPr>
          <w:rFonts w:hint="default" w:ascii="Times New Roman" w:hAnsi="Times New Roman" w:eastAsia="仿宋_GB2312" w:cs="Times New Roman"/>
          <w:sz w:val="32"/>
          <w:szCs w:val="32"/>
        </w:rPr>
        <w:t>μg</w:t>
      </w:r>
      <w:r>
        <w:rPr>
          <w:rFonts w:hint="default" w:ascii="Times New Roman" w:hAnsi="Times New Roman" w:eastAsia="仿宋_GB2312" w:cs="Times New Roman"/>
          <w:sz w:val="32"/>
          <w:szCs w:val="32"/>
          <w:lang w:val="en-US" w:eastAsia="zh-CN"/>
        </w:rPr>
        <w:t>/100kJ</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《食品安全国家标准 预包装特殊膳食用食品标签》（GB 13432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婴幼儿谷类辅助食品中维生素B</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含量不达标</w:t>
      </w:r>
      <w:r>
        <w:rPr>
          <w:rFonts w:hint="default" w:ascii="Times New Roman" w:hAnsi="Times New Roman" w:eastAsia="仿宋_GB2312" w:cs="Times New Roman"/>
          <w:sz w:val="32"/>
          <w:szCs w:val="32"/>
        </w:rPr>
        <w:t>的原因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rPr>
        <w:t>可能是在加工或储存过程中损失。</w:t>
      </w:r>
    </w:p>
    <w:p>
      <w:pPr>
        <w:widowControl w:val="0"/>
        <w:numPr>
          <w:ilvl w:val="0"/>
          <w:numId w:val="0"/>
        </w:numPr>
        <w:adjustRightInd w:val="0"/>
        <w:spacing w:after="0" w:line="594" w:lineRule="exact"/>
        <w:ind w:left="0" w:leftChars="0" w:firstLine="640" w:firstLineChars="200"/>
        <w:jc w:val="both"/>
        <w:rPr>
          <w:rFonts w:hint="eastAsia" w:ascii="Calibri" w:hAnsi="Calibri" w:eastAsia="仿宋" w:cs="Times New Roman"/>
          <w:kern w:val="2"/>
          <w:sz w:val="32"/>
          <w:szCs w:val="22"/>
          <w:lang w:val="en-US" w:eastAsia="zh-CN" w:bidi="ar-SA"/>
        </w:rPr>
      </w:pPr>
      <w:r>
        <w:rPr>
          <w:rFonts w:hint="eastAsia" w:ascii="Times New Roman" w:hAnsi="Times New Roman" w:eastAsia="黑体" w:cs="Times New Roman"/>
          <w:spacing w:val="0"/>
          <w:sz w:val="32"/>
          <w:szCs w:val="32"/>
          <w:lang w:val="en-US" w:eastAsia="zh-CN"/>
        </w:rPr>
        <w:t>十四、</w:t>
      </w:r>
      <w:r>
        <w:rPr>
          <w:rFonts w:hint="eastAsia" w:ascii="黑体" w:hAnsi="黑体" w:eastAsia="黑体" w:cs="黑体"/>
          <w:spacing w:val="-12"/>
          <w:kern w:val="2"/>
          <w:sz w:val="32"/>
          <w:szCs w:val="32"/>
          <w:lang w:val="en-US" w:eastAsia="zh-CN" w:bidi="ar-SA"/>
        </w:rPr>
        <w:t>烟酸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黑体" w:cs="Times New Roman"/>
          <w:spacing w:val="0"/>
          <w:sz w:val="32"/>
          <w:szCs w:val="32"/>
          <w:lang w:val="en-US" w:eastAsia="zh-CN"/>
        </w:rPr>
      </w:pPr>
      <w:r>
        <w:rPr>
          <w:rFonts w:hint="default" w:ascii="Times New Roman" w:hAnsi="Times New Roman" w:eastAsia="仿宋_GB2312" w:cs="Times New Roman"/>
          <w:kern w:val="2"/>
          <w:sz w:val="32"/>
          <w:szCs w:val="22"/>
          <w:lang w:val="en-US" w:eastAsia="zh-CN" w:bidi="ar-SA"/>
        </w:rPr>
        <w:t>烟酸是一种B族维生素，可参与人体内物质和能量代谢，在维持皮肤和消化器官正常功能中起重要作用。烟酸缺乏可能会引起糙皮病或癞皮病，影响婴幼儿生长发育。《食品安全国家标准 婴幼儿谷类辅助食品》（GB 10769</w:t>
      </w:r>
      <w:r>
        <w:rPr>
          <w:rFonts w:hint="eastAsia" w:ascii="仿宋_GB2312" w:hAnsi="仿宋_GB2312" w:eastAsia="仿宋_GB2312" w:cs="仿宋_GB2312"/>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2010）中规定，婴幼儿谷类辅助食品中烟酸含量应</w:t>
      </w:r>
      <w:r>
        <w:rPr>
          <w:rFonts w:hint="eastAsia" w:ascii="仿宋_GB2312" w:hAnsi="仿宋_GB2312" w:eastAsia="仿宋_GB2312" w:cs="仿宋_GB2312"/>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83.7μg/100kJ</w:t>
      </w:r>
      <w:r>
        <w:rPr>
          <w:rFonts w:hint="eastAsia"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《食品安全国家标准 预包装特殊膳食用食品标签》（GB 13432</w:t>
      </w:r>
      <w:r>
        <w:rPr>
          <w:rFonts w:hint="eastAsia" w:ascii="仿宋_GB2312" w:hAnsi="仿宋_GB2312" w:eastAsia="仿宋_GB2312" w:cs="仿宋_GB2312"/>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2013）中规定，在产品保质期内，能量和营养成分的实际含量不应低于标示值的80%。婴幼儿谷类辅助食品中烟酸含量不达标的原因，可能是原辅料用食品营养强化剂不符合质量要求</w:t>
      </w:r>
      <w:r>
        <w:rPr>
          <w:rFonts w:hint="eastAsia"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也可能是生产加工过程中搅拌不均匀。</w:t>
      </w:r>
    </w:p>
    <w:p>
      <w:pPr>
        <w:pStyle w:val="2"/>
        <w:keepNext w:val="0"/>
        <w:keepLines w:val="0"/>
        <w:pageBreakBefore w:val="0"/>
        <w:widowControl w:val="0"/>
        <w:kinsoku/>
        <w:wordWrap/>
        <w:overflowPunct/>
        <w:topLinePunct w:val="0"/>
        <w:bidi w:val="0"/>
        <w:snapToGrid/>
        <w:spacing w:after="0" w:line="594" w:lineRule="exact"/>
        <w:ind w:firstLine="592"/>
        <w:textAlignment w:val="auto"/>
        <w:rPr>
          <w:rFonts w:hint="eastAsia" w:ascii="Times New Roman" w:hAnsi="Times New Roman" w:eastAsia="黑体" w:cs="Times New Roman"/>
          <w:spacing w:val="0"/>
          <w:sz w:val="32"/>
          <w:szCs w:val="32"/>
          <w:lang w:val="en-US" w:eastAsia="zh-CN"/>
        </w:rPr>
      </w:pPr>
      <w:r>
        <w:rPr>
          <w:rFonts w:hint="eastAsia" w:ascii="黑体" w:hAnsi="黑体" w:eastAsia="黑体" w:cs="黑体"/>
          <w:spacing w:val="0"/>
          <w:sz w:val="32"/>
          <w:szCs w:val="32"/>
          <w:lang w:val="en-US" w:eastAsia="zh-CN"/>
        </w:rPr>
        <w:t>十五</w:t>
      </w:r>
      <w:r>
        <w:rPr>
          <w:rFonts w:hint="eastAsia" w:ascii="黑体" w:hAnsi="黑体" w:eastAsia="黑体" w:cs="黑体"/>
          <w:spacing w:val="0"/>
          <w:sz w:val="32"/>
          <w:szCs w:val="32"/>
        </w:rPr>
        <w:t>、</w:t>
      </w:r>
      <w:r>
        <w:rPr>
          <w:rFonts w:hint="eastAsia" w:ascii="Times New Roman" w:hAnsi="Times New Roman" w:eastAsia="黑体" w:cs="Times New Roman"/>
          <w:spacing w:val="0"/>
          <w:sz w:val="32"/>
          <w:szCs w:val="32"/>
          <w:lang w:val="en-US" w:eastAsia="zh-CN"/>
        </w:rPr>
        <w:t>维生素</w:t>
      </w:r>
      <w:r>
        <w:rPr>
          <w:rFonts w:hint="eastAsia" w:ascii="黑体" w:hAnsi="黑体" w:eastAsia="黑体" w:cs="黑体"/>
          <w:spacing w:val="0"/>
          <w:sz w:val="32"/>
          <w:szCs w:val="32"/>
          <w:lang w:val="en-US" w:eastAsia="zh-CN"/>
        </w:rPr>
        <w:t>D</w:t>
      </w:r>
    </w:p>
    <w:p>
      <w:pPr>
        <w:adjustRightInd/>
        <w:spacing w:line="594" w:lineRule="exact"/>
        <w:ind w:firstLine="640" w:firstLineChars="200"/>
        <w:rPr>
          <w:rFonts w:hint="default"/>
          <w:lang w:val="en-US" w:eastAsia="zh-CN"/>
        </w:rPr>
      </w:pPr>
      <w:r>
        <w:rPr>
          <w:rFonts w:hint="default" w:ascii="Times New Roman" w:hAnsi="Times New Roman" w:eastAsia="仿宋_GB2312" w:cs="Times New Roman"/>
          <w:spacing w:val="0"/>
          <w:sz w:val="32"/>
          <w:szCs w:val="32"/>
          <w:lang w:val="en-US" w:eastAsia="zh-CN"/>
        </w:rPr>
        <w:t>维生素D是一种脂溶性维生素，可以维持血浆钙和磷的水平稳定，满足骨骼矿物质化、肌肉收缩、神经传导及细胞的基本功能。维生素D缺乏容易导致儿童佝偻病等。</w:t>
      </w:r>
      <w:r>
        <w:rPr>
          <w:rFonts w:hint="default" w:ascii="Times New Roman" w:hAnsi="Times New Roman" w:eastAsia="仿宋_GB2312" w:cs="Times New Roman"/>
          <w:spacing w:val="0"/>
          <w:sz w:val="32"/>
          <w:szCs w:val="32"/>
        </w:rPr>
        <w:t xml:space="preserve">《食品安全国家标准 </w:t>
      </w:r>
      <w:r>
        <w:rPr>
          <w:rFonts w:hint="default" w:ascii="Times New Roman" w:hAnsi="Times New Roman" w:eastAsia="仿宋_GB2312" w:cs="Times New Roman"/>
          <w:spacing w:val="0"/>
          <w:sz w:val="32"/>
          <w:szCs w:val="32"/>
          <w:lang w:val="en-US" w:eastAsia="zh-CN"/>
        </w:rPr>
        <w:t>婴幼儿谷类辅助食品</w:t>
      </w:r>
      <w:r>
        <w:rPr>
          <w:rFonts w:hint="default" w:ascii="Times New Roman" w:hAnsi="Times New Roman" w:eastAsia="仿宋_GB2312" w:cs="Times New Roman"/>
          <w:spacing w:val="0"/>
          <w:sz w:val="32"/>
          <w:szCs w:val="32"/>
        </w:rPr>
        <w:t xml:space="preserve">》（GB </w:t>
      </w:r>
      <w:r>
        <w:rPr>
          <w:rFonts w:hint="default" w:ascii="Times New Roman" w:hAnsi="Times New Roman" w:eastAsia="仿宋_GB2312" w:cs="Times New Roman"/>
          <w:spacing w:val="0"/>
          <w:sz w:val="32"/>
          <w:szCs w:val="32"/>
          <w:lang w:val="en-US" w:eastAsia="zh-CN"/>
        </w:rPr>
        <w:t>10769</w:t>
      </w:r>
      <w:r>
        <w:rPr>
          <w:rFonts w:hint="eastAsia" w:ascii="仿宋_GB2312" w:hAnsi="仿宋_GB2312" w:eastAsia="仿宋_GB2312" w:cs="仿宋_GB2312"/>
          <w:spacing w:val="0"/>
          <w:sz w:val="32"/>
          <w:szCs w:val="32"/>
        </w:rPr>
        <w:t>—</w:t>
      </w:r>
      <w:r>
        <w:rPr>
          <w:rFonts w:hint="default" w:ascii="Times New Roman" w:hAnsi="Times New Roman" w:eastAsia="仿宋_GB2312" w:cs="Times New Roman"/>
          <w:spacing w:val="0"/>
          <w:sz w:val="32"/>
          <w:szCs w:val="32"/>
          <w:lang w:val="en-US" w:eastAsia="zh-CN"/>
        </w:rPr>
        <w:t>2010</w:t>
      </w:r>
      <w:r>
        <w:rPr>
          <w:rFonts w:hint="default" w:ascii="Times New Roman" w:hAnsi="Times New Roman" w:eastAsia="仿宋_GB2312" w:cs="Times New Roman"/>
          <w:spacing w:val="0"/>
          <w:sz w:val="32"/>
          <w:szCs w:val="32"/>
        </w:rPr>
        <w:t>）中规定，</w:t>
      </w:r>
      <w:r>
        <w:rPr>
          <w:rFonts w:hint="default" w:ascii="Times New Roman" w:hAnsi="Times New Roman" w:eastAsia="仿宋_GB2312" w:cs="Times New Roman"/>
          <w:spacing w:val="0"/>
          <w:sz w:val="32"/>
          <w:szCs w:val="32"/>
          <w:lang w:val="en-US" w:eastAsia="zh-CN"/>
        </w:rPr>
        <w:t>婴幼儿谷类辅助食品中维生素D含量</w:t>
      </w:r>
      <w:r>
        <w:rPr>
          <w:rFonts w:hint="default" w:ascii="Times New Roman" w:hAnsi="Times New Roman" w:eastAsia="仿宋_GB2312" w:cs="Times New Roman"/>
          <w:spacing w:val="0"/>
          <w:sz w:val="32"/>
          <w:szCs w:val="32"/>
        </w:rPr>
        <w:t>应</w:t>
      </w:r>
      <w:r>
        <w:rPr>
          <w:rFonts w:hint="default" w:ascii="Times New Roman" w:hAnsi="Times New Roman" w:eastAsia="仿宋_GB2312" w:cs="Times New Roman"/>
          <w:spacing w:val="0"/>
          <w:sz w:val="32"/>
          <w:szCs w:val="32"/>
          <w:lang w:val="en-US" w:eastAsia="zh-CN"/>
        </w:rPr>
        <w:t>在0.25</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0.75</w:t>
      </w:r>
      <w:r>
        <w:rPr>
          <w:rFonts w:hint="default" w:ascii="Times New Roman" w:hAnsi="Times New Roman" w:eastAsia="仿宋_GB2312" w:cs="Times New Roman"/>
          <w:spacing w:val="0"/>
          <w:sz w:val="32"/>
          <w:szCs w:val="32"/>
        </w:rPr>
        <w:t>μg</w:t>
      </w:r>
      <w:r>
        <w:rPr>
          <w:rFonts w:hint="default" w:ascii="Times New Roman" w:hAnsi="Times New Roman" w:eastAsia="仿宋_GB2312" w:cs="Times New Roman"/>
          <w:spacing w:val="0"/>
          <w:sz w:val="32"/>
          <w:szCs w:val="32"/>
          <w:lang w:val="en-US" w:eastAsia="zh-CN"/>
        </w:rPr>
        <w:t>/100kJ范围内</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《食品安全国家标准 预包装特殊膳食用食品标签》（GB 13432</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rPr>
        <w:t>2013）中规定，在产品保质期内，能量和营养成分的实际含量不应低于标示值的80%。</w:t>
      </w:r>
      <w:r>
        <w:rPr>
          <w:rFonts w:hint="default" w:ascii="Times New Roman" w:hAnsi="Times New Roman" w:eastAsia="仿宋_GB2312" w:cs="Times New Roman"/>
          <w:spacing w:val="0"/>
          <w:sz w:val="32"/>
          <w:szCs w:val="32"/>
          <w:lang w:val="en-US" w:eastAsia="zh-CN"/>
        </w:rPr>
        <w:t>婴幼儿谷类辅助食品中维生素D含量不达标</w:t>
      </w:r>
      <w:r>
        <w:rPr>
          <w:rFonts w:hint="default" w:ascii="Times New Roman" w:hAnsi="Times New Roman" w:eastAsia="仿宋_GB2312" w:cs="Times New Roman"/>
          <w:spacing w:val="0"/>
          <w:sz w:val="32"/>
          <w:szCs w:val="32"/>
        </w:rPr>
        <w:t>的原因</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可能是</w:t>
      </w:r>
      <w:r>
        <w:rPr>
          <w:rFonts w:hint="default" w:ascii="Times New Roman" w:hAnsi="Times New Roman" w:eastAsia="仿宋_GB2312" w:cs="Times New Roman"/>
          <w:spacing w:val="0"/>
          <w:sz w:val="32"/>
          <w:szCs w:val="32"/>
        </w:rPr>
        <w:t>原辅料用食品营养强化剂不</w:t>
      </w:r>
      <w:r>
        <w:rPr>
          <w:rFonts w:hint="default" w:ascii="Times New Roman" w:hAnsi="Times New Roman" w:eastAsia="仿宋_GB2312" w:cs="Times New Roman"/>
          <w:spacing w:val="0"/>
          <w:sz w:val="32"/>
          <w:szCs w:val="32"/>
          <w:lang w:eastAsia="zh-CN"/>
        </w:rPr>
        <w:t>符合</w:t>
      </w:r>
      <w:r>
        <w:rPr>
          <w:rFonts w:hint="default" w:ascii="Times New Roman" w:hAnsi="Times New Roman" w:eastAsia="仿宋_GB2312" w:cs="Times New Roman"/>
          <w:spacing w:val="0"/>
          <w:sz w:val="32"/>
          <w:szCs w:val="32"/>
        </w:rPr>
        <w:t>质量要求</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也可能是</w:t>
      </w:r>
      <w:r>
        <w:rPr>
          <w:rFonts w:hint="default" w:ascii="Times New Roman" w:hAnsi="Times New Roman" w:eastAsia="仿宋_GB2312" w:cs="Times New Roman"/>
          <w:spacing w:val="0"/>
          <w:sz w:val="32"/>
          <w:szCs w:val="32"/>
        </w:rPr>
        <w:t>生产加工过程中搅拌不均匀</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还</w:t>
      </w:r>
      <w:r>
        <w:rPr>
          <w:rFonts w:hint="default" w:ascii="Times New Roman" w:hAnsi="Times New Roman" w:eastAsia="仿宋_GB2312" w:cs="Times New Roman"/>
          <w:spacing w:val="0"/>
          <w:sz w:val="32"/>
          <w:szCs w:val="32"/>
        </w:rPr>
        <w:t>可能是在加工或储存过程中损失。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十六、铁</w:t>
      </w:r>
    </w:p>
    <w:p>
      <w:pPr>
        <w:pStyle w:val="2"/>
        <w:spacing w:after="0" w:line="594" w:lineRule="exact"/>
        <w:ind w:firstLine="592"/>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铁是人体必需的微量元素。铁摄入过量可能会引起急性铁中毒如恶心、呕吐和血性腹泻，或慢性铁中毒如肝纤维化和肝细胞瘤等，还可能增加糖尿病、心血管疾病风险。《食品安全国家标准 婴幼儿谷类辅助食品》（GB 10769</w:t>
      </w:r>
      <w:r>
        <w:rPr>
          <w:rFonts w:hint="eastAsia" w:ascii="仿宋_GB2312" w:hAnsi="仿宋_GB2312" w:eastAsia="仿宋_GB2312" w:cs="仿宋_GB2312"/>
          <w:lang w:val="en-US" w:eastAsia="zh-CN"/>
        </w:rPr>
        <w:t>—</w:t>
      </w:r>
      <w:r>
        <w:rPr>
          <w:rFonts w:hint="default" w:ascii="Times New Roman" w:hAnsi="Times New Roman" w:eastAsia="仿宋_GB2312" w:cs="Times New Roman"/>
          <w:lang w:val="en-US" w:eastAsia="zh-CN"/>
        </w:rPr>
        <w:t>2010）中规定，婴幼儿谷类辅助食品中铁含量应在0.25</w:t>
      </w:r>
      <w:r>
        <w:rPr>
          <w:rFonts w:hint="eastAsia" w:ascii="仿宋_GB2312" w:hAnsi="仿宋_GB2312" w:eastAsia="仿宋_GB2312" w:cs="仿宋_GB2312"/>
          <w:lang w:val="en-US" w:eastAsia="zh-CN"/>
        </w:rPr>
        <w:t>—</w:t>
      </w:r>
      <w:r>
        <w:rPr>
          <w:rFonts w:hint="default" w:ascii="Times New Roman" w:hAnsi="Times New Roman" w:eastAsia="仿宋_GB2312" w:cs="Times New Roman"/>
          <w:lang w:val="en-US" w:eastAsia="zh-CN"/>
        </w:rPr>
        <w:t>0.50mg/100kJ范围内</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《食品安全国家标准 预包装特殊膳食用食品标签》（GB 13432</w:t>
      </w:r>
      <w:r>
        <w:rPr>
          <w:rFonts w:hint="eastAsia" w:ascii="仿宋_GB2312" w:hAnsi="仿宋_GB2312" w:eastAsia="仿宋_GB2312" w:cs="仿宋_GB2312"/>
          <w:lang w:val="en-US" w:eastAsia="zh-CN"/>
        </w:rPr>
        <w:t>—</w:t>
      </w:r>
      <w:r>
        <w:rPr>
          <w:rFonts w:hint="default" w:ascii="Times New Roman" w:hAnsi="Times New Roman" w:eastAsia="仿宋_GB2312" w:cs="Times New Roman"/>
          <w:lang w:val="en-US" w:eastAsia="zh-CN"/>
        </w:rPr>
        <w:t>2013）中规定，在产品保质期内，能量和营养成分的实际含量不应低于标示值的80%。婴幼儿谷类辅助食品中铁含量超标的原因，可能是生产工艺不合理</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lang w:val="en-US" w:eastAsia="zh-CN"/>
        </w:rPr>
        <w:t>也可能是生产加工过程中搅拌不均匀。</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z w:val="32"/>
          <w:szCs w:val="32"/>
          <w:lang w:val="en-US" w:eastAsia="zh-CN"/>
        </w:rPr>
      </w:pPr>
      <w:r>
        <w:rPr>
          <w:rFonts w:hint="eastAsia" w:ascii="黑体" w:hAnsi="黑体" w:eastAsia="黑体" w:cs="黑体"/>
          <w:spacing w:val="-12"/>
          <w:sz w:val="32"/>
          <w:szCs w:val="32"/>
          <w:lang w:val="en-US" w:eastAsia="zh-CN"/>
        </w:rPr>
        <w:t>十七、锌</w:t>
      </w:r>
    </w:p>
    <w:p>
      <w:pPr>
        <w:pStyle w:val="2"/>
        <w:keepNext w:val="0"/>
        <w:keepLines w:val="0"/>
        <w:pageBreakBefore w:val="0"/>
        <w:widowControl/>
        <w:numPr>
          <w:ilvl w:val="-1"/>
          <w:numId w:val="0"/>
        </w:numPr>
        <w:kinsoku/>
        <w:wordWrap/>
        <w:overflowPunct/>
        <w:topLinePunct w:val="0"/>
        <w:autoSpaceDN/>
        <w:bidi w:val="0"/>
        <w:spacing w:after="0" w:line="594" w:lineRule="exact"/>
        <w:ind w:leftChars="0" w:firstLine="592"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锌是人体必需的微量元素，对生长发育、免疫功能、物质代谢等均有重要作用。锌摄入过量可能会干扰其他微量元素的吸收利用，还可能损害免疫功能。《食品安全国家标准 婴幼儿谷类辅助食品》（GB 10769</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2010）中规定，婴幼儿谷类辅助食品中锌含量应在0.17</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0.46mg/100kJ范围内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《食品安全国家标准 预包装特殊膳食用食品标签》（GB 13432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2013）中规定，在产品保质期内，能量和营养成分的实际含量不应低于标示值的80%。婴幼儿谷类辅助食品中锌含量超标的原因，可能是生产工艺不合理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也可能是生产加工过程中搅拌不均匀。</w:t>
      </w:r>
    </w:p>
    <w:p>
      <w:pPr>
        <w:pStyle w:val="2"/>
        <w:keepNext w:val="0"/>
        <w:keepLines w:val="0"/>
        <w:pageBreakBefore w:val="0"/>
        <w:widowControl w:val="0"/>
        <w:numPr>
          <w:ilvl w:val="0"/>
          <w:numId w:val="0"/>
        </w:numPr>
        <w:kinsoku/>
        <w:wordWrap/>
        <w:overflowPunct/>
        <w:topLinePunct w:val="0"/>
        <w:autoSpaceDN/>
        <w:bidi w:val="0"/>
        <w:spacing w:after="0" w:line="594" w:lineRule="exact"/>
        <w:ind w:leftChars="0" w:firstLine="640" w:firstLineChars="200"/>
        <w:textAlignment w:val="auto"/>
        <w:rPr>
          <w:rFonts w:hint="eastAsia" w:ascii="黑体" w:hAnsi="黑体" w:eastAsia="黑体" w:cs="黑体"/>
          <w:szCs w:val="32"/>
          <w:highlight w:val="none"/>
          <w:lang w:eastAsia="zh-CN"/>
        </w:rPr>
      </w:pPr>
      <w:r>
        <w:rPr>
          <w:rFonts w:hint="eastAsia" w:ascii="黑体" w:hAnsi="黑体" w:eastAsia="黑体" w:cs="黑体"/>
          <w:szCs w:val="32"/>
          <w:highlight w:val="none"/>
          <w:lang w:val="en-US" w:eastAsia="zh-CN"/>
        </w:rPr>
        <w:t>十八</w:t>
      </w:r>
      <w:r>
        <w:rPr>
          <w:rFonts w:hint="eastAsia" w:ascii="黑体" w:hAnsi="黑体" w:eastAsia="黑体" w:cs="黑体"/>
          <w:szCs w:val="32"/>
          <w:highlight w:val="none"/>
          <w:lang w:eastAsia="zh-CN"/>
        </w:rPr>
        <w:t>、</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蛋白质</w:t>
      </w:r>
    </w:p>
    <w:p>
      <w:pPr>
        <w:pStyle w:val="2"/>
        <w:keepNext w:val="0"/>
        <w:keepLines w:val="0"/>
        <w:pageBreakBefore w:val="0"/>
        <w:widowControl w:val="0"/>
        <w:numPr>
          <w:ilvl w:val="0"/>
          <w:numId w:val="0"/>
        </w:numPr>
        <w:kinsoku/>
        <w:wordWrap/>
        <w:overflowPunct/>
        <w:topLinePunct w:val="0"/>
        <w:autoSpaceDN/>
        <w:bidi w:val="0"/>
        <w:spacing w:after="0" w:line="594" w:lineRule="exact"/>
        <w:ind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sz w:val="32"/>
          <w:szCs w:val="32"/>
        </w:rPr>
        <w:t>蛋白质是由氨基酸以肽键连接在一起，并形成一定空间结构的高分子有机化合物。</w:t>
      </w:r>
      <w:r>
        <w:rPr>
          <w:rFonts w:hint="eastAsia" w:ascii="Times New Roman" w:hAnsi="Times New Roman" w:eastAsia="仿宋_GB2312"/>
          <w:sz w:val="32"/>
          <w:szCs w:val="32"/>
          <w:lang w:val="en-US" w:eastAsia="zh-CN"/>
        </w:rPr>
        <w:t>蛋白质含量高低是衡量</w:t>
      </w:r>
      <w:r>
        <w:rPr>
          <w:rFonts w:hint="default" w:ascii="Times New Roman" w:hAnsi="Times New Roman" w:eastAsia="仿宋_GB2312" w:cs="Times New Roman"/>
          <w:kern w:val="2"/>
          <w:sz w:val="32"/>
          <w:szCs w:val="32"/>
          <w:highlight w:val="none"/>
          <w:lang w:val="en-US" w:eastAsia="zh-CN" w:bidi="ar-SA"/>
        </w:rPr>
        <w:t>熏煮香肠火腿制品质量等级的重要指标之一</w:t>
      </w:r>
      <w:r>
        <w:rPr>
          <w:rFonts w:hint="eastAsia" w:ascii="Times New Roman" w:hAnsi="Times New Roman" w:eastAsia="仿宋_GB2312"/>
          <w:sz w:val="32"/>
          <w:szCs w:val="32"/>
          <w:lang w:eastAsia="zh-CN"/>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熏煮香肠</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SB/T</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10279—2017</w:t>
      </w:r>
      <w:r>
        <w:rPr>
          <w:rFonts w:ascii="Times New Roman" w:hAnsi="Times New Roman" w:eastAsia="仿宋_GB2312"/>
          <w:sz w:val="32"/>
          <w:szCs w:val="32"/>
          <w:highlight w:val="none"/>
        </w:rPr>
        <w:t>）中规定，</w:t>
      </w:r>
      <w:r>
        <w:rPr>
          <w:rFonts w:hint="eastAsia" w:ascii="Times New Roman" w:hAnsi="Times New Roman" w:eastAsia="仿宋_GB2312"/>
          <w:sz w:val="32"/>
          <w:szCs w:val="32"/>
          <w:highlight w:val="none"/>
          <w:lang w:val="en-US" w:eastAsia="zh-CN"/>
        </w:rPr>
        <w:t>优级熏煮香肠中蛋白质</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sz w:val="32"/>
          <w:szCs w:val="32"/>
          <w:highlight w:val="none"/>
          <w:lang w:val="en-US" w:eastAsia="zh-CN"/>
        </w:rPr>
        <w:t>14</w:t>
      </w:r>
      <w:r>
        <w:rPr>
          <w:rFonts w:hint="eastAsia" w:ascii="Times New Roman" w:hAnsi="Times New Roman" w:eastAsia="仿宋_GB2312"/>
          <w:sz w:val="32"/>
          <w:szCs w:val="32"/>
          <w:highlight w:val="none"/>
        </w:rPr>
        <w:t>g/</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g</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熏煮香肠火腿制品</w:t>
      </w:r>
      <w:r>
        <w:rPr>
          <w:rFonts w:hint="eastAsia" w:eastAsia="仿宋_GB2312"/>
          <w:sz w:val="32"/>
          <w:szCs w:val="32"/>
        </w:rPr>
        <w:t>中</w:t>
      </w:r>
      <w:r>
        <w:rPr>
          <w:rFonts w:hint="eastAsia" w:eastAsia="仿宋_GB2312"/>
          <w:sz w:val="32"/>
          <w:szCs w:val="32"/>
          <w:lang w:val="en-US" w:eastAsia="zh-CN"/>
        </w:rPr>
        <w:t>蛋白质</w:t>
      </w:r>
      <w:r>
        <w:rPr>
          <w:rFonts w:hint="default" w:ascii="Times New Roman" w:hAnsi="Times New Roman" w:eastAsia="仿宋_GB2312" w:cs="Times New Roman"/>
          <w:sz w:val="32"/>
          <w:szCs w:val="32"/>
          <w:lang w:val="en-US" w:eastAsia="zh-CN"/>
        </w:rPr>
        <w:t>含量</w:t>
      </w:r>
      <w:r>
        <w:rPr>
          <w:rFonts w:hint="eastAsia"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lang w:val="en-US" w:eastAsia="zh-CN"/>
        </w:rPr>
        <w:t>达标</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原因</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可能是</w:t>
      </w:r>
      <w:r>
        <w:rPr>
          <w:rFonts w:hint="default" w:ascii="Times New Roman" w:hAnsi="Times New Roman" w:eastAsia="仿宋_GB2312" w:cs="Times New Roman"/>
          <w:kern w:val="2"/>
          <w:sz w:val="32"/>
          <w:szCs w:val="32"/>
          <w:highlight w:val="none"/>
          <w:lang w:val="en-US" w:eastAsia="zh-CN" w:bidi="ar-SA"/>
        </w:rPr>
        <w:t>原料采购环节质量把关不严</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也可能是企业生产工艺控制不严</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还可能是企业在生产过程中为降低成本而以次充好。</w:t>
      </w:r>
    </w:p>
    <w:p>
      <w:pPr>
        <w:pStyle w:val="2"/>
        <w:keepNext w:val="0"/>
        <w:keepLines w:val="0"/>
        <w:pageBreakBefore w:val="0"/>
        <w:widowControl w:val="0"/>
        <w:numPr>
          <w:ilvl w:val="0"/>
          <w:numId w:val="0"/>
        </w:numPr>
        <w:kinsoku/>
        <w:wordWrap/>
        <w:overflowPunct/>
        <w:topLinePunct w:val="0"/>
        <w:autoSpaceDN/>
        <w:bidi w:val="0"/>
        <w:spacing w:after="0" w:line="594" w:lineRule="exact"/>
        <w:ind w:leftChars="0" w:firstLine="640" w:firstLineChars="200"/>
        <w:textAlignment w:val="auto"/>
        <w:rPr>
          <w:rFonts w:hint="eastAsia" w:ascii="黑体" w:hAnsi="黑体" w:eastAsia="黑体" w:cs="黑体"/>
          <w:szCs w:val="32"/>
          <w:highlight w:val="none"/>
          <w:lang w:eastAsia="zh-CN"/>
        </w:rPr>
      </w:pPr>
      <w:r>
        <w:rPr>
          <w:rFonts w:hint="eastAsia" w:ascii="黑体" w:hAnsi="黑体" w:eastAsia="黑体" w:cs="黑体"/>
          <w:kern w:val="2"/>
          <w:sz w:val="32"/>
          <w:szCs w:val="32"/>
          <w:highlight w:val="none"/>
          <w:lang w:val="en-US" w:eastAsia="zh-CN" w:bidi="ar-SA"/>
        </w:rPr>
        <w:t>十九、</w:t>
      </w:r>
      <w:r>
        <w:rPr>
          <w:rFonts w:hint="eastAsia" w:ascii="黑体" w:hAnsi="黑体" w:eastAsia="黑体" w:cs="黑体"/>
          <w:color w:val="000000" w:themeColor="text1"/>
          <w:sz w:val="32"/>
          <w:szCs w:val="32"/>
          <w:highlight w:val="none"/>
          <w:lang w:val="en-US" w:eastAsia="zh-CN"/>
          <w14:textFill>
            <w14:solidFill>
              <w14:schemeClr w14:val="tx1"/>
            </w14:solidFill>
          </w14:textFill>
        </w:rPr>
        <w:t>淀粉</w:t>
      </w:r>
    </w:p>
    <w:p>
      <w:pPr>
        <w:adjustRightInd/>
        <w:snapToGrid/>
        <w:spacing w:line="594"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淀粉是高分子碳水化合物，是由葡萄糖分子聚合而成的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highlight w:val="none"/>
          <w:lang w:val="en-US" w:eastAsia="zh-CN" w:bidi="ar-SA"/>
        </w:rPr>
        <w:t>淀粉不合格主要影响产品的风味和口感。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熏煮香肠</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SB/T</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10279</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2017</w:t>
      </w:r>
      <w:r>
        <w:rPr>
          <w:rFonts w:hint="default" w:ascii="Times New Roman" w:hAnsi="Times New Roman" w:eastAsia="仿宋_GB2312" w:cs="Times New Roman"/>
          <w:sz w:val="32"/>
          <w:szCs w:val="32"/>
          <w:highlight w:val="none"/>
        </w:rPr>
        <w:t>）中规定，</w:t>
      </w:r>
      <w:r>
        <w:rPr>
          <w:rFonts w:hint="default" w:ascii="Times New Roman" w:hAnsi="Times New Roman" w:eastAsia="仿宋_GB2312" w:cs="Times New Roman"/>
          <w:sz w:val="32"/>
          <w:szCs w:val="32"/>
          <w:highlight w:val="none"/>
          <w:lang w:val="en-US" w:eastAsia="zh-CN"/>
        </w:rPr>
        <w:t>优级熏煮香肠</w:t>
      </w:r>
      <w:r>
        <w:rPr>
          <w:rFonts w:hint="eastAsia"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lang w:val="en-US" w:eastAsia="zh-CN"/>
        </w:rPr>
        <w:t>淀粉</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g/</w:t>
      </w:r>
      <w:r>
        <w:rPr>
          <w:rFonts w:hint="default"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rPr>
        <w:t>g。</w:t>
      </w:r>
      <w:r>
        <w:rPr>
          <w:rFonts w:hint="eastAsia" w:ascii="Times New Roman" w:hAnsi="Times New Roman" w:eastAsia="仿宋_GB2312" w:cs="Times New Roman"/>
          <w:sz w:val="32"/>
          <w:szCs w:val="32"/>
          <w:highlight w:val="none"/>
          <w:lang w:val="en-US" w:eastAsia="zh-CN"/>
        </w:rPr>
        <w:t>该批次产品</w:t>
      </w:r>
      <w:r>
        <w:rPr>
          <w:rFonts w:hint="eastAsia"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lang w:val="en-US" w:eastAsia="zh-CN"/>
        </w:rPr>
        <w:t>淀粉</w:t>
      </w:r>
      <w:r>
        <w:rPr>
          <w:rFonts w:hint="eastAsia" w:eastAsia="仿宋_GB2312" w:cs="Times New Roman"/>
          <w:sz w:val="32"/>
          <w:szCs w:val="32"/>
          <w:highlight w:val="none"/>
          <w:lang w:val="en-US" w:eastAsia="zh-CN"/>
        </w:rPr>
        <w:t>含量</w:t>
      </w:r>
      <w:r>
        <w:rPr>
          <w:rFonts w:hint="default" w:ascii="Times New Roman" w:hAnsi="Times New Roman" w:eastAsia="仿宋_GB2312" w:cs="Times New Roman"/>
          <w:sz w:val="32"/>
          <w:szCs w:val="32"/>
          <w:highlight w:val="none"/>
        </w:rPr>
        <w:t>符合</w:t>
      </w:r>
      <w:r>
        <w:rPr>
          <w:rFonts w:hint="eastAsia" w:eastAsia="仿宋_GB2312" w:cs="Times New Roman"/>
          <w:sz w:val="32"/>
          <w:szCs w:val="32"/>
          <w:highlight w:val="none"/>
          <w:lang w:val="en-US" w:eastAsia="zh-CN"/>
        </w:rPr>
        <w:t>相关产品执行标准要求</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但</w:t>
      </w:r>
      <w:r>
        <w:rPr>
          <w:rFonts w:hint="default" w:ascii="Times New Roman" w:hAnsi="Times New Roman" w:eastAsia="仿宋_GB2312" w:cs="Times New Roman"/>
          <w:sz w:val="32"/>
          <w:szCs w:val="32"/>
          <w:highlight w:val="none"/>
        </w:rPr>
        <w:t>不符合</w:t>
      </w:r>
      <w:r>
        <w:rPr>
          <w:rFonts w:hint="default" w:ascii="Times New Roman" w:hAnsi="Times New Roman" w:eastAsia="仿宋_GB2312" w:cs="Times New Roman"/>
          <w:sz w:val="32"/>
          <w:szCs w:val="32"/>
          <w:highlight w:val="none"/>
          <w:lang w:val="en-US" w:eastAsia="zh-CN"/>
        </w:rPr>
        <w:t>产品标签标示要求</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lang w:val="en-US" w:eastAsia="zh-CN"/>
        </w:rPr>
        <w:t>淀粉含量</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熏煮香肠火腿制品</w:t>
      </w:r>
      <w:r>
        <w:rPr>
          <w:rFonts w:hint="eastAsia"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lang w:val="en-US" w:eastAsia="zh-CN"/>
        </w:rPr>
        <w:t>淀粉</w:t>
      </w:r>
      <w:r>
        <w:rPr>
          <w:rFonts w:hint="eastAsia" w:eastAsia="仿宋_GB2312" w:cs="Times New Roman"/>
          <w:color w:val="000000" w:themeColor="text1"/>
          <w:sz w:val="32"/>
          <w:szCs w:val="32"/>
          <w:highlight w:val="none"/>
          <w:lang w:val="en-US" w:eastAsia="zh-CN"/>
          <w14:textFill>
            <w14:solidFill>
              <w14:schemeClr w14:val="tx1"/>
            </w14:solidFill>
          </w14:textFill>
        </w:rPr>
        <w:t>含量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超标的原因</w:t>
      </w:r>
      <w:r>
        <w:rPr>
          <w:rFonts w:hint="default" w:ascii="Times New Roman" w:hAnsi="Times New Roman" w:eastAsia="仿宋_GB2312" w:cs="Times New Roman"/>
          <w:sz w:val="32"/>
          <w:szCs w:val="32"/>
        </w:rPr>
        <w:t>，可能是</w:t>
      </w:r>
      <w:r>
        <w:rPr>
          <w:rFonts w:hint="default" w:ascii="Times New Roman" w:hAnsi="Times New Roman" w:eastAsia="仿宋_GB2312" w:cs="Times New Roman"/>
          <w:kern w:val="2"/>
          <w:sz w:val="32"/>
          <w:szCs w:val="32"/>
          <w:highlight w:val="none"/>
          <w:lang w:val="en-US" w:eastAsia="zh-CN" w:bidi="ar-SA"/>
        </w:rPr>
        <w:t>企业生产工艺控制不严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也可能是</w:t>
      </w:r>
      <w:r>
        <w:rPr>
          <w:rFonts w:hint="default" w:ascii="Times New Roman" w:hAnsi="Times New Roman" w:eastAsia="仿宋_GB2312" w:cs="Times New Roman"/>
          <w:kern w:val="2"/>
          <w:sz w:val="32"/>
          <w:szCs w:val="32"/>
          <w:highlight w:val="none"/>
          <w:lang w:val="en-US" w:eastAsia="zh-CN" w:bidi="ar-SA"/>
        </w:rPr>
        <w:t>企业在生产过程中为降低成本而以次充好</w:t>
      </w:r>
      <w:r>
        <w:rPr>
          <w:rFonts w:hint="default" w:ascii="Times New Roman" w:hAnsi="Times New Roman" w:eastAsia="仿宋_GB2312" w:cs="Times New Roman"/>
          <w:sz w:val="32"/>
          <w:szCs w:val="32"/>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大宋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876A6"/>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1A56D4B"/>
    <w:rsid w:val="01C40DDD"/>
    <w:rsid w:val="02661E94"/>
    <w:rsid w:val="027A5D95"/>
    <w:rsid w:val="028D1A14"/>
    <w:rsid w:val="02EE52CA"/>
    <w:rsid w:val="038F0445"/>
    <w:rsid w:val="03A414C8"/>
    <w:rsid w:val="04025BED"/>
    <w:rsid w:val="04294F27"/>
    <w:rsid w:val="043132CE"/>
    <w:rsid w:val="04B16515"/>
    <w:rsid w:val="052446EE"/>
    <w:rsid w:val="053242B0"/>
    <w:rsid w:val="05462D97"/>
    <w:rsid w:val="055E15B3"/>
    <w:rsid w:val="05907CAB"/>
    <w:rsid w:val="06A61BD4"/>
    <w:rsid w:val="06A71C34"/>
    <w:rsid w:val="06FC4B75"/>
    <w:rsid w:val="070639D0"/>
    <w:rsid w:val="0722265B"/>
    <w:rsid w:val="07265873"/>
    <w:rsid w:val="07A30962"/>
    <w:rsid w:val="07DA160B"/>
    <w:rsid w:val="081C479D"/>
    <w:rsid w:val="089E37AF"/>
    <w:rsid w:val="09FE6495"/>
    <w:rsid w:val="0AAD48BF"/>
    <w:rsid w:val="0ADC3742"/>
    <w:rsid w:val="0B437A81"/>
    <w:rsid w:val="0BC8771C"/>
    <w:rsid w:val="0BCF39F7"/>
    <w:rsid w:val="0C2A1C3C"/>
    <w:rsid w:val="0C2D133B"/>
    <w:rsid w:val="0C364B74"/>
    <w:rsid w:val="0CD40A10"/>
    <w:rsid w:val="0CF0645F"/>
    <w:rsid w:val="0E092D0B"/>
    <w:rsid w:val="0EC81837"/>
    <w:rsid w:val="0F5238B5"/>
    <w:rsid w:val="0FEB509E"/>
    <w:rsid w:val="0FF5732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033CEF"/>
    <w:rsid w:val="1722569F"/>
    <w:rsid w:val="178C1298"/>
    <w:rsid w:val="19067FF8"/>
    <w:rsid w:val="19977A4A"/>
    <w:rsid w:val="19D6063F"/>
    <w:rsid w:val="19DD082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82274"/>
    <w:rsid w:val="2059449C"/>
    <w:rsid w:val="20BC665B"/>
    <w:rsid w:val="20C11697"/>
    <w:rsid w:val="20DF2D7E"/>
    <w:rsid w:val="20E97796"/>
    <w:rsid w:val="21372698"/>
    <w:rsid w:val="215701F0"/>
    <w:rsid w:val="22E67475"/>
    <w:rsid w:val="239D06F1"/>
    <w:rsid w:val="23D113E8"/>
    <w:rsid w:val="24235EAA"/>
    <w:rsid w:val="247A6FAA"/>
    <w:rsid w:val="249D47DC"/>
    <w:rsid w:val="25124A75"/>
    <w:rsid w:val="259E23E3"/>
    <w:rsid w:val="26314ACD"/>
    <w:rsid w:val="266C5903"/>
    <w:rsid w:val="269D741C"/>
    <w:rsid w:val="27584E00"/>
    <w:rsid w:val="27894434"/>
    <w:rsid w:val="27C43035"/>
    <w:rsid w:val="27CF1A25"/>
    <w:rsid w:val="294A7F7D"/>
    <w:rsid w:val="29F8276D"/>
    <w:rsid w:val="29FB7D70"/>
    <w:rsid w:val="2A53594F"/>
    <w:rsid w:val="2ABF7615"/>
    <w:rsid w:val="2AEB7548"/>
    <w:rsid w:val="2AF42F2E"/>
    <w:rsid w:val="2BD07C59"/>
    <w:rsid w:val="2CD74E22"/>
    <w:rsid w:val="2CE70F66"/>
    <w:rsid w:val="2D7D16EA"/>
    <w:rsid w:val="2E4243E1"/>
    <w:rsid w:val="2F033EB0"/>
    <w:rsid w:val="2F2C68FC"/>
    <w:rsid w:val="2F712A79"/>
    <w:rsid w:val="2F9B35E3"/>
    <w:rsid w:val="2FDD066F"/>
    <w:rsid w:val="30706BFB"/>
    <w:rsid w:val="30730D18"/>
    <w:rsid w:val="308001C6"/>
    <w:rsid w:val="30AC7B38"/>
    <w:rsid w:val="31252E3F"/>
    <w:rsid w:val="31FD11FC"/>
    <w:rsid w:val="32A67649"/>
    <w:rsid w:val="33844E91"/>
    <w:rsid w:val="33BA14BA"/>
    <w:rsid w:val="34151A1C"/>
    <w:rsid w:val="34516D2E"/>
    <w:rsid w:val="34DB4439"/>
    <w:rsid w:val="34F97B15"/>
    <w:rsid w:val="358F3E74"/>
    <w:rsid w:val="36256509"/>
    <w:rsid w:val="36AD5E36"/>
    <w:rsid w:val="36BB0136"/>
    <w:rsid w:val="36BB4D35"/>
    <w:rsid w:val="37E01180"/>
    <w:rsid w:val="37E56DDC"/>
    <w:rsid w:val="37F900FD"/>
    <w:rsid w:val="38933D71"/>
    <w:rsid w:val="38AA3B42"/>
    <w:rsid w:val="394C2E8B"/>
    <w:rsid w:val="39673EBA"/>
    <w:rsid w:val="3A4A0926"/>
    <w:rsid w:val="3A8A5A19"/>
    <w:rsid w:val="3AA478AB"/>
    <w:rsid w:val="3B2D45F6"/>
    <w:rsid w:val="3C2512EE"/>
    <w:rsid w:val="3C3812CC"/>
    <w:rsid w:val="3C432FF1"/>
    <w:rsid w:val="3C4B12A5"/>
    <w:rsid w:val="3C4D2E8B"/>
    <w:rsid w:val="3C81270D"/>
    <w:rsid w:val="3DD57988"/>
    <w:rsid w:val="3E56682C"/>
    <w:rsid w:val="3ED05834"/>
    <w:rsid w:val="3EF229BA"/>
    <w:rsid w:val="3F42581D"/>
    <w:rsid w:val="3FA01312"/>
    <w:rsid w:val="3FED319C"/>
    <w:rsid w:val="401234CD"/>
    <w:rsid w:val="405B301B"/>
    <w:rsid w:val="408B4949"/>
    <w:rsid w:val="40F962F7"/>
    <w:rsid w:val="41025C20"/>
    <w:rsid w:val="411B6563"/>
    <w:rsid w:val="4218656A"/>
    <w:rsid w:val="4236267D"/>
    <w:rsid w:val="42BC2694"/>
    <w:rsid w:val="44120B90"/>
    <w:rsid w:val="446C036D"/>
    <w:rsid w:val="448604CB"/>
    <w:rsid w:val="44921DE2"/>
    <w:rsid w:val="44CE64DA"/>
    <w:rsid w:val="45562D9B"/>
    <w:rsid w:val="45AF268C"/>
    <w:rsid w:val="463A646A"/>
    <w:rsid w:val="466B8266"/>
    <w:rsid w:val="46994A91"/>
    <w:rsid w:val="46CC3297"/>
    <w:rsid w:val="471E6356"/>
    <w:rsid w:val="47242D51"/>
    <w:rsid w:val="47D450E7"/>
    <w:rsid w:val="47D93B1F"/>
    <w:rsid w:val="48CD06B6"/>
    <w:rsid w:val="48CE02C4"/>
    <w:rsid w:val="48D63B60"/>
    <w:rsid w:val="494C3F8C"/>
    <w:rsid w:val="494E4E79"/>
    <w:rsid w:val="495138DA"/>
    <w:rsid w:val="497763FD"/>
    <w:rsid w:val="49B00079"/>
    <w:rsid w:val="49D57EE1"/>
    <w:rsid w:val="4A612A04"/>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D2F44"/>
    <w:rsid w:val="53FF0DCE"/>
    <w:rsid w:val="54544D6D"/>
    <w:rsid w:val="545804DE"/>
    <w:rsid w:val="56A276D0"/>
    <w:rsid w:val="57B03788"/>
    <w:rsid w:val="57F401E5"/>
    <w:rsid w:val="580C5E2D"/>
    <w:rsid w:val="58873140"/>
    <w:rsid w:val="588C340E"/>
    <w:rsid w:val="58A7355C"/>
    <w:rsid w:val="5917309A"/>
    <w:rsid w:val="592526F4"/>
    <w:rsid w:val="59840098"/>
    <w:rsid w:val="59D04F91"/>
    <w:rsid w:val="5AB741B0"/>
    <w:rsid w:val="5B035A3A"/>
    <w:rsid w:val="5B9E651D"/>
    <w:rsid w:val="5BE41C7F"/>
    <w:rsid w:val="5C435B8D"/>
    <w:rsid w:val="5CD643C2"/>
    <w:rsid w:val="5D3C5BA5"/>
    <w:rsid w:val="5DA1645E"/>
    <w:rsid w:val="5E14229A"/>
    <w:rsid w:val="5E38554B"/>
    <w:rsid w:val="5E5431CD"/>
    <w:rsid w:val="5F2065C8"/>
    <w:rsid w:val="613D1EB7"/>
    <w:rsid w:val="63213BB4"/>
    <w:rsid w:val="63BA5678"/>
    <w:rsid w:val="64165519"/>
    <w:rsid w:val="643200F6"/>
    <w:rsid w:val="64CE046B"/>
    <w:rsid w:val="64D82E8B"/>
    <w:rsid w:val="653E7950"/>
    <w:rsid w:val="676770CE"/>
    <w:rsid w:val="679E2A0F"/>
    <w:rsid w:val="69872FA0"/>
    <w:rsid w:val="69C7211C"/>
    <w:rsid w:val="69E34809"/>
    <w:rsid w:val="6B487B7E"/>
    <w:rsid w:val="6B8F3DB5"/>
    <w:rsid w:val="6B997EDF"/>
    <w:rsid w:val="6BA50B91"/>
    <w:rsid w:val="6BC54056"/>
    <w:rsid w:val="6C57653C"/>
    <w:rsid w:val="6C8F263F"/>
    <w:rsid w:val="6D3323BC"/>
    <w:rsid w:val="6E0D279D"/>
    <w:rsid w:val="6E1B7C7E"/>
    <w:rsid w:val="6E9D44F7"/>
    <w:rsid w:val="6EFF5CCE"/>
    <w:rsid w:val="6F7C56DB"/>
    <w:rsid w:val="707961D1"/>
    <w:rsid w:val="70CF7EE0"/>
    <w:rsid w:val="70F00C1D"/>
    <w:rsid w:val="71052DB8"/>
    <w:rsid w:val="71346E5A"/>
    <w:rsid w:val="72404633"/>
    <w:rsid w:val="728D7A35"/>
    <w:rsid w:val="72ED6B92"/>
    <w:rsid w:val="735D6752"/>
    <w:rsid w:val="73712CCC"/>
    <w:rsid w:val="739C3AEB"/>
    <w:rsid w:val="73A155A6"/>
    <w:rsid w:val="73F64CEB"/>
    <w:rsid w:val="741C16EF"/>
    <w:rsid w:val="743531C2"/>
    <w:rsid w:val="743B3E91"/>
    <w:rsid w:val="74631C62"/>
    <w:rsid w:val="749704B3"/>
    <w:rsid w:val="751C7E3C"/>
    <w:rsid w:val="75A22D1B"/>
    <w:rsid w:val="75A47394"/>
    <w:rsid w:val="7773491F"/>
    <w:rsid w:val="77DD70DB"/>
    <w:rsid w:val="78BF19EB"/>
    <w:rsid w:val="78FB4BB6"/>
    <w:rsid w:val="79043F06"/>
    <w:rsid w:val="79DE2FF1"/>
    <w:rsid w:val="7A7226AF"/>
    <w:rsid w:val="7A971365"/>
    <w:rsid w:val="7AE837E3"/>
    <w:rsid w:val="7B081C9A"/>
    <w:rsid w:val="7B0C1162"/>
    <w:rsid w:val="7B344CA7"/>
    <w:rsid w:val="7BAF49F6"/>
    <w:rsid w:val="7BBC107B"/>
    <w:rsid w:val="7BDB4D25"/>
    <w:rsid w:val="7C3B5127"/>
    <w:rsid w:val="7D750B61"/>
    <w:rsid w:val="7D9B6771"/>
    <w:rsid w:val="7DBD7C50"/>
    <w:rsid w:val="7F056143"/>
    <w:rsid w:val="7F362E0C"/>
    <w:rsid w:val="7F3A6B56"/>
    <w:rsid w:val="7F3C7129"/>
    <w:rsid w:val="7F413799"/>
    <w:rsid w:val="7F7F5721"/>
    <w:rsid w:val="7FBE329C"/>
    <w:rsid w:val="FF6F2A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10</TotalTime>
  <ScaleCrop>false</ScaleCrop>
  <LinksUpToDate>false</LinksUpToDate>
  <CharactersWithSpaces>4232</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2021-01-12T09:57:00Z</dcterms:created>
  <dc:creator>ywk-rx</dc:creator>
  <cp:lastModifiedBy>oa</cp:lastModifiedBy>
  <cp:lastPrinted>2023-10-08T09:32:00Z</cp:lastPrinted>
  <dcterms:modified xsi:type="dcterms:W3CDTF">2024-04-09T08:54:47Z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BABB206A2E98E021D7911466C43C112E</vt:lpwstr>
  </property>
</Properties>
</file>