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default" w:ascii="宋体" w:hAnsi="宋体" w:eastAsia="方正黑体_GBK" w:cs="宋体"/>
          <w:color w:val="auto"/>
          <w:spacing w:val="-11"/>
          <w:sz w:val="32"/>
          <w:szCs w:val="44"/>
          <w:lang w:val="en-US" w:eastAsia="zh-CN"/>
        </w:rPr>
      </w:pPr>
      <w:r>
        <w:rPr>
          <w:rFonts w:hint="eastAsia" w:ascii="宋体" w:hAnsi="宋体" w:eastAsia="方正黑体_GBK" w:cs="宋体"/>
          <w:color w:val="auto"/>
          <w:spacing w:val="-11"/>
          <w:sz w:val="32"/>
          <w:szCs w:val="4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宋体" w:hAnsi="宋体" w:eastAsia="方正小标宋_GBK" w:cs="宋体"/>
          <w:color w:val="auto"/>
          <w:spacing w:val="-11"/>
          <w:sz w:val="44"/>
          <w:szCs w:val="44"/>
        </w:rPr>
      </w:pPr>
      <w:r>
        <w:rPr>
          <w:rFonts w:hint="eastAsia" w:ascii="宋体" w:hAnsi="宋体" w:eastAsia="方正小标宋_GBK" w:cs="宋体"/>
          <w:color w:val="auto"/>
          <w:spacing w:val="-11"/>
          <w:sz w:val="44"/>
          <w:szCs w:val="44"/>
        </w:rPr>
        <w:t>部分不合格检验项目小知识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textAlignment w:val="auto"/>
        <w:rPr>
          <w:rFonts w:hint="eastAsia" w:ascii="宋体" w:hAnsi="宋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黑体"/>
          <w:color w:val="auto"/>
          <w:sz w:val="32"/>
          <w:szCs w:val="32"/>
          <w:lang w:val="en-US" w:eastAsia="zh-CN"/>
        </w:rPr>
        <w:t>一、氯霉素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textAlignment w:val="auto"/>
        <w:rPr>
          <w:rFonts w:hint="eastAsia" w:ascii="宋体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仿宋_GB2312"/>
          <w:color w:val="auto"/>
          <w:sz w:val="32"/>
          <w:szCs w:val="32"/>
          <w:lang w:val="en-US" w:eastAsia="zh-CN"/>
        </w:rPr>
        <w:t>氯霉素是酰胺醇类抗生素，长期大量摄入氯霉素残留超标的食品，可能在人体蓄积，产生耐药并对同类药物有交叉耐药，引起胃肠道症状、肝功能异常、血液系统异常以及表现为神经系统毒性、过敏反应等。因其不良反应较大，我国农业部193号公告、农业部235号公告、农业农村部250号公告均明确规定食用动物中禁止使用氯霉素，整顿办函〔2010〕50号也将其列为生食水产品中可能违法添加的非食用物质。海水鱼中检出氯霉素的原因，可能是在养殖过程中为了快速控制疫病而违规使用药物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textAlignment w:val="auto"/>
        <w:rPr>
          <w:rFonts w:hint="eastAsia" w:ascii="宋体" w:hAnsi="宋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黑体"/>
          <w:color w:val="auto"/>
          <w:sz w:val="32"/>
          <w:szCs w:val="32"/>
          <w:lang w:val="en-US" w:eastAsia="zh-CN"/>
        </w:rPr>
        <w:t>二、水胺硫磷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640" w:firstLineChars="200"/>
        <w:textAlignment w:val="auto"/>
        <w:rPr>
          <w:rFonts w:hint="eastAsia" w:ascii="宋体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  <w:t>水胺硫磷属于胆碱酯酶抑制剂，具有触杀和胃毒作用，是一种广谱性有机磷类杀虫、杀螨剂，兼有杀卵作用。水胺硫磷为高毒农药，禁止用于果、菜、烟、茶、中草药植物上。食用食品一般不会导致水胺硫磷的急性中毒，但长期食用水胺硫磷超标的食品，对人体健康也有一定影响。《食品安全国家标准 食品中农药最大残留限量》（GB 2763—2021）中规定，水胺硫磷在鳞茎类蔬菜中的最大残留限量值为0.05mg/kg。水胺硫磷超标的原因，可能是菜农在种植环节违规使用该农药。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2" w:firstLineChars="200"/>
        <w:textAlignment w:val="auto"/>
        <w:rPr>
          <w:rFonts w:hint="eastAsia" w:ascii="宋体" w:hAnsi="宋体" w:eastAsia="黑体"/>
          <w:color w:val="auto"/>
          <w:spacing w:val="-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黑体"/>
          <w:color w:val="auto"/>
          <w:spacing w:val="-12"/>
          <w:sz w:val="32"/>
          <w:szCs w:val="32"/>
          <w:highlight w:val="none"/>
          <w:lang w:val="en-US" w:eastAsia="zh-CN"/>
        </w:rPr>
        <w:t>三、甜蜜素(以环己基氨基磺酸计)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default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eastAsia="仿宋_GB2312" w:cs="Times New Roman"/>
          <w:color w:val="auto"/>
          <w:sz w:val="32"/>
          <w:szCs w:val="32"/>
          <w:lang w:val="en-US" w:eastAsia="zh-CN"/>
        </w:rPr>
        <w:t>甜蜜素，化学名称为环己基氨基磺酸钠，是食品生产中常用的</w:t>
      </w:r>
      <w:r>
        <w:rPr>
          <w:rFonts w:hint="eastAsia" w:ascii="宋体" w:hAnsi="宋体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宋体" w:hAnsi="宋体" w:eastAsia="仿宋_GB2312" w:cs="Times New Roman"/>
          <w:color w:val="auto"/>
          <w:sz w:val="32"/>
          <w:szCs w:val="32"/>
          <w:lang w:val="en-US" w:eastAsia="zh-CN"/>
        </w:rPr>
        <w:instrText xml:space="preserve"> HYPERLINK "https://baike.baidu.com/item/%E6%B7%BB%E5%8A%A0%E5%89%82/5134870" \t "https://baike.baidu.com/item/%E7%94%9C%E8%9C%9C%E7%B4%A0/_blank" </w:instrText>
      </w:r>
      <w:r>
        <w:rPr>
          <w:rFonts w:hint="eastAsia" w:ascii="宋体" w:hAnsi="宋体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宋体" w:hAnsi="宋体" w:eastAsia="仿宋_GB2312" w:cs="Times New Roman"/>
          <w:color w:val="auto"/>
          <w:sz w:val="32"/>
          <w:szCs w:val="32"/>
          <w:lang w:val="en-US" w:eastAsia="zh-CN"/>
        </w:rPr>
        <w:t>甜味剂</w:t>
      </w:r>
      <w:r>
        <w:rPr>
          <w:rFonts w:hint="eastAsia" w:ascii="宋体" w:hAnsi="宋体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宋体" w:hAnsi="宋体" w:eastAsia="仿宋_GB2312" w:cs="Times New Roman"/>
          <w:color w:val="auto"/>
          <w:sz w:val="32"/>
          <w:szCs w:val="32"/>
          <w:lang w:val="en-US" w:eastAsia="zh-CN"/>
        </w:rPr>
        <w:t>之一，其</w:t>
      </w: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  <w:t>甜度是蔗糖的40—50倍。长期摄入甜蜜素超标的食品，可能对人体的肝脏和神经系统造成一定危害。《食品安全国家标准 食品添加剂使用标准》（GB 2760—2014）中规定，白酒中不得使用甜蜜素。白酒中检出甜蜜素的原因，可能是生产企业为改善成品白酒的口感，</w:t>
      </w: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lang w:val="en-US" w:eastAsia="zh-CN" w:bidi="ar-SA"/>
        </w:rPr>
        <w:t>在产品中超范围使用甜蜜素来调节口感，</w:t>
      </w: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  <w:t>也可能是白酒、配制酒生产过程中造成交叉污染。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textAlignment w:val="auto"/>
        <w:rPr>
          <w:rFonts w:hint="eastAsia" w:ascii="宋体" w:hAnsi="宋体" w:eastAsia="黑体"/>
          <w:color w:val="auto"/>
          <w:sz w:val="32"/>
          <w:szCs w:val="32"/>
        </w:rPr>
      </w:pPr>
      <w:r>
        <w:rPr>
          <w:rFonts w:hint="eastAsia" w:ascii="宋体" w:hAnsi="宋体" w:eastAsia="黑体"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宋体" w:hAnsi="宋体" w:eastAsia="黑体"/>
          <w:color w:val="auto"/>
          <w:sz w:val="32"/>
          <w:szCs w:val="32"/>
        </w:rPr>
        <w:t>亚硝酸盐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textAlignment w:val="auto"/>
        <w:rPr>
          <w:rFonts w:hint="eastAsia" w:ascii="宋体" w:hAnsi="宋体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仿宋_GB2312"/>
          <w:color w:val="auto"/>
          <w:sz w:val="32"/>
          <w:szCs w:val="32"/>
        </w:rPr>
        <w:t>亚硝酸盐</w:t>
      </w:r>
      <w:r>
        <w:rPr>
          <w:rFonts w:hint="eastAsia" w:ascii="宋体" w:hAnsi="宋体" w:eastAsia="仿宋_GB2312"/>
          <w:color w:val="auto"/>
          <w:sz w:val="32"/>
          <w:szCs w:val="32"/>
          <w:lang w:val="en-US" w:eastAsia="zh-CN"/>
        </w:rPr>
        <w:t>主要包括亚硝酸钠和亚硝酸钾，</w:t>
      </w:r>
      <w:r>
        <w:rPr>
          <w:rFonts w:hint="eastAsia" w:ascii="宋体" w:hAnsi="宋体" w:eastAsia="仿宋_GB2312"/>
          <w:color w:val="auto"/>
          <w:sz w:val="32"/>
          <w:szCs w:val="32"/>
        </w:rPr>
        <w:t>是常见的防腐剂和护色剂</w:t>
      </w:r>
      <w:r>
        <w:rPr>
          <w:rFonts w:ascii="宋体" w:hAnsi="宋体" w:eastAsia="仿宋_GB2312" w:cs="Times New Roman"/>
          <w:color w:val="auto"/>
          <w:sz w:val="32"/>
          <w:szCs w:val="32"/>
        </w:rPr>
        <w:t>。</w:t>
      </w:r>
      <w:r>
        <w:rPr>
          <w:rFonts w:hint="eastAsia" w:ascii="宋体" w:hAnsi="宋体" w:eastAsia="仿宋_GB2312" w:cs="Times New Roman"/>
          <w:color w:val="auto"/>
          <w:sz w:val="32"/>
          <w:szCs w:val="32"/>
        </w:rPr>
        <w:t>亚硝酸盐可导致高铁血红蛋白血症，摄入高剂量的亚硝酸盐能引起中毒。《食品安全国家标准 食品添加剂使用标准》（GB 2760</w:t>
      </w:r>
      <w:r>
        <w:rPr>
          <w:rFonts w:hint="eastAsia" w:ascii="宋体" w:hAnsi="宋体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—</w:t>
      </w:r>
      <w:r>
        <w:rPr>
          <w:rFonts w:hint="eastAsia" w:ascii="宋体" w:hAnsi="宋体" w:eastAsia="仿宋_GB2312" w:cs="Times New Roman"/>
          <w:color w:val="auto"/>
          <w:sz w:val="32"/>
          <w:szCs w:val="32"/>
        </w:rPr>
        <w:t>2014）</w:t>
      </w:r>
      <w:r>
        <w:rPr>
          <w:rFonts w:ascii="宋体" w:hAnsi="宋体" w:eastAsia="仿宋_GB2312" w:cs="Times New Roman"/>
          <w:color w:val="auto"/>
          <w:sz w:val="32"/>
          <w:szCs w:val="32"/>
        </w:rPr>
        <w:t>中规定，</w:t>
      </w:r>
      <w:r>
        <w:rPr>
          <w:rFonts w:hint="eastAsia" w:ascii="宋体" w:hAnsi="宋体" w:eastAsia="仿宋_GB2312" w:cs="Times New Roman"/>
          <w:color w:val="auto"/>
          <w:sz w:val="32"/>
          <w:szCs w:val="32"/>
          <w:lang w:val="en-US" w:eastAsia="zh-CN"/>
        </w:rPr>
        <w:t>腌腊肉制品</w:t>
      </w:r>
      <w:r>
        <w:rPr>
          <w:rFonts w:hint="eastAsia" w:ascii="宋体" w:hAnsi="宋体" w:eastAsia="仿宋_GB2312" w:cs="Times New Roman"/>
          <w:color w:val="auto"/>
          <w:sz w:val="32"/>
          <w:szCs w:val="32"/>
        </w:rPr>
        <w:t>类</w:t>
      </w:r>
      <w:r>
        <w:rPr>
          <w:rFonts w:hint="eastAsia" w:ascii="宋体" w:hAnsi="宋体" w:eastAsia="仿宋_GB2312" w:cs="Times New Roman"/>
          <w:color w:val="auto"/>
          <w:sz w:val="32"/>
          <w:szCs w:val="32"/>
          <w:lang w:val="en-US" w:eastAsia="zh-CN"/>
        </w:rPr>
        <w:t>中亚硝酸盐（以亚硝酸</w:t>
      </w:r>
      <w:bookmarkStart w:id="0" w:name="_GoBack"/>
      <w:bookmarkEnd w:id="0"/>
      <w:r>
        <w:rPr>
          <w:rFonts w:hint="eastAsia" w:ascii="宋体" w:hAnsi="宋体" w:eastAsia="仿宋_GB2312" w:cs="Times New Roman"/>
          <w:color w:val="auto"/>
          <w:sz w:val="32"/>
          <w:szCs w:val="32"/>
          <w:lang w:val="en-US" w:eastAsia="zh-CN"/>
        </w:rPr>
        <w:t>钠计）残留量应小于等于30mg/kg</w:t>
      </w:r>
      <w:r>
        <w:rPr>
          <w:rFonts w:ascii="宋体" w:hAnsi="宋体" w:eastAsia="仿宋_GB2312" w:cs="Times New Roman"/>
          <w:color w:val="auto"/>
          <w:sz w:val="32"/>
          <w:szCs w:val="32"/>
        </w:rPr>
        <w:t>。</w:t>
      </w:r>
      <w:r>
        <w:rPr>
          <w:rFonts w:hint="eastAsia" w:ascii="宋体" w:hAnsi="宋体" w:eastAsia="仿宋_GB2312" w:cs="Times New Roman"/>
          <w:color w:val="auto"/>
          <w:sz w:val="32"/>
          <w:szCs w:val="32"/>
        </w:rPr>
        <w:t>亚硝酸盐</w:t>
      </w:r>
      <w:r>
        <w:rPr>
          <w:rFonts w:ascii="宋体" w:hAnsi="宋体" w:eastAsia="仿宋_GB2312" w:cs="Times New Roman"/>
          <w:color w:val="auto"/>
          <w:sz w:val="32"/>
          <w:szCs w:val="32"/>
        </w:rPr>
        <w:t>不达标原因可能是</w:t>
      </w:r>
      <w:r>
        <w:rPr>
          <w:rFonts w:hint="eastAsia" w:ascii="宋体" w:hAnsi="宋体" w:eastAsia="仿宋_GB2312" w:cs="Times New Roman"/>
          <w:color w:val="auto"/>
          <w:sz w:val="32"/>
          <w:szCs w:val="32"/>
          <w:lang w:val="en-US" w:eastAsia="zh-CN"/>
        </w:rPr>
        <w:t>卫生质量</w:t>
      </w:r>
      <w:r>
        <w:rPr>
          <w:rFonts w:ascii="宋体" w:hAnsi="宋体" w:eastAsia="仿宋_GB2312" w:cs="Times New Roman"/>
          <w:color w:val="auto"/>
          <w:sz w:val="32"/>
          <w:szCs w:val="32"/>
        </w:rPr>
        <w:t>控制不当</w:t>
      </w:r>
      <w:r>
        <w:rPr>
          <w:rFonts w:hint="eastAsia" w:ascii="宋体" w:hAnsi="宋体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592" w:firstLineChars="200"/>
        <w:jc w:val="left"/>
        <w:textAlignment w:val="auto"/>
        <w:rPr>
          <w:rFonts w:ascii="宋体" w:hAnsi="宋体" w:eastAsia="黑体"/>
          <w:color w:val="auto"/>
          <w:spacing w:val="-12"/>
          <w:sz w:val="32"/>
          <w:szCs w:val="32"/>
          <w:highlight w:val="none"/>
        </w:rPr>
      </w:pPr>
      <w:r>
        <w:rPr>
          <w:rFonts w:hint="eastAsia" w:ascii="宋体" w:hAnsi="宋体" w:eastAsia="黑体"/>
          <w:color w:val="auto"/>
          <w:spacing w:val="-12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宋体" w:hAnsi="宋体" w:eastAsia="黑体"/>
          <w:color w:val="auto"/>
          <w:spacing w:val="-12"/>
          <w:sz w:val="32"/>
          <w:szCs w:val="32"/>
          <w:highlight w:val="none"/>
        </w:rPr>
        <w:t>、</w:t>
      </w:r>
      <w:r>
        <w:rPr>
          <w:rFonts w:hint="eastAsia" w:ascii="宋体" w:hAnsi="宋体" w:eastAsia="黑体"/>
          <w:color w:val="auto"/>
          <w:spacing w:val="-12"/>
          <w:sz w:val="32"/>
          <w:szCs w:val="32"/>
          <w:highlight w:val="none"/>
        </w:rPr>
        <w:t>氯氟氰菊酯和高效氯氟氰菊酯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640" w:firstLineChars="200"/>
        <w:textAlignment w:val="auto"/>
        <w:rPr>
          <w:rFonts w:hint="eastAsia" w:ascii="宋体" w:hAnsi="宋体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氯氟氰菊酯和高效氯氟氰菊酯是一种广谱、高效拟除虫菊酯类杀虫剂，以触杀和胃毒作用为主，广泛用于农林业和卫生虫害的防治。少量的残留不会引起人体急性中毒，但长期食用氯氟氰菊酯和高效氯氟氰菊酯超标的食品，对人体健康可能有一定影响。《食品安全国家标准 食品中农药最大残留限量》（GB 2763—2021）中规定，氯氟氰菊酯和高效氯氟氰菊酯在韭菜中的最大残留限量值为0.5mg/kg。氯氰菊酯和高效氯氰菊酯超标的原因，可能是为控制病情不遵守休药期规定，致使上市销售时产品中的药物残留量未降解至标准限量以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宋体" w:hAnsi="宋体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footerReference r:id="rId4" w:type="even"/>
      <w:pgSz w:w="11906" w:h="16838"/>
      <w:pgMar w:top="2098" w:right="1417" w:bottom="147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15F8CE6-D39F-4A40-B119-61E012187CD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13F8970C-11B8-4A68-B846-4B4754BE1615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3ABF0188-4C29-466B-8507-32A41E9F9D2F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8F1891D5-4D4B-49A8-B959-A9342FA95DD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5013DD9F-717C-4737-90DB-93D6CBCFCAD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0827681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1N2JlNTk5N2I1MjE1ZDc4Y2MwMTI0OWVmYzZkOGMifQ=="/>
  </w:docVars>
  <w:rsids>
    <w:rsidRoot w:val="15B85137"/>
    <w:rsid w:val="000119D5"/>
    <w:rsid w:val="00013E30"/>
    <w:rsid w:val="000276F3"/>
    <w:rsid w:val="00045657"/>
    <w:rsid w:val="00063DA7"/>
    <w:rsid w:val="000854E2"/>
    <w:rsid w:val="000868BD"/>
    <w:rsid w:val="0009071C"/>
    <w:rsid w:val="000C63B4"/>
    <w:rsid w:val="000D132D"/>
    <w:rsid w:val="000E0F61"/>
    <w:rsid w:val="000E639C"/>
    <w:rsid w:val="00101A1D"/>
    <w:rsid w:val="0010777E"/>
    <w:rsid w:val="00116CA2"/>
    <w:rsid w:val="00135634"/>
    <w:rsid w:val="00135A77"/>
    <w:rsid w:val="00142BDE"/>
    <w:rsid w:val="0015345E"/>
    <w:rsid w:val="00170041"/>
    <w:rsid w:val="0018028B"/>
    <w:rsid w:val="001B6492"/>
    <w:rsid w:val="00205007"/>
    <w:rsid w:val="00217ABC"/>
    <w:rsid w:val="00256527"/>
    <w:rsid w:val="00263FF9"/>
    <w:rsid w:val="00277D08"/>
    <w:rsid w:val="002805F4"/>
    <w:rsid w:val="002973CA"/>
    <w:rsid w:val="002B1D5C"/>
    <w:rsid w:val="00334125"/>
    <w:rsid w:val="0036317E"/>
    <w:rsid w:val="00366A48"/>
    <w:rsid w:val="003863E8"/>
    <w:rsid w:val="00387207"/>
    <w:rsid w:val="003B6CD4"/>
    <w:rsid w:val="003C1AAD"/>
    <w:rsid w:val="003D4702"/>
    <w:rsid w:val="003F5AD0"/>
    <w:rsid w:val="003F6028"/>
    <w:rsid w:val="00407D86"/>
    <w:rsid w:val="004201AC"/>
    <w:rsid w:val="00423211"/>
    <w:rsid w:val="00425E6A"/>
    <w:rsid w:val="00447299"/>
    <w:rsid w:val="00457F63"/>
    <w:rsid w:val="00467CE0"/>
    <w:rsid w:val="004707E4"/>
    <w:rsid w:val="004735A6"/>
    <w:rsid w:val="004C53F6"/>
    <w:rsid w:val="004D036B"/>
    <w:rsid w:val="004D0CC7"/>
    <w:rsid w:val="004D4E94"/>
    <w:rsid w:val="00514B88"/>
    <w:rsid w:val="005216E2"/>
    <w:rsid w:val="00541843"/>
    <w:rsid w:val="00551758"/>
    <w:rsid w:val="00565D70"/>
    <w:rsid w:val="00576235"/>
    <w:rsid w:val="0057719D"/>
    <w:rsid w:val="00580AA7"/>
    <w:rsid w:val="005A6A35"/>
    <w:rsid w:val="005A758A"/>
    <w:rsid w:val="005C0139"/>
    <w:rsid w:val="005C2A8D"/>
    <w:rsid w:val="005C692C"/>
    <w:rsid w:val="005C76FA"/>
    <w:rsid w:val="005D5A75"/>
    <w:rsid w:val="005E7727"/>
    <w:rsid w:val="00603050"/>
    <w:rsid w:val="00613B2D"/>
    <w:rsid w:val="006221A8"/>
    <w:rsid w:val="00632D84"/>
    <w:rsid w:val="00643647"/>
    <w:rsid w:val="006B4C83"/>
    <w:rsid w:val="006E25C7"/>
    <w:rsid w:val="006E3529"/>
    <w:rsid w:val="006E385A"/>
    <w:rsid w:val="006F10E4"/>
    <w:rsid w:val="007114C3"/>
    <w:rsid w:val="00716E8E"/>
    <w:rsid w:val="007323B8"/>
    <w:rsid w:val="00741E8B"/>
    <w:rsid w:val="00742D85"/>
    <w:rsid w:val="0076297A"/>
    <w:rsid w:val="00766A6B"/>
    <w:rsid w:val="00771D1B"/>
    <w:rsid w:val="00786192"/>
    <w:rsid w:val="0079128E"/>
    <w:rsid w:val="007B44DC"/>
    <w:rsid w:val="007C2539"/>
    <w:rsid w:val="007C55DC"/>
    <w:rsid w:val="007D761E"/>
    <w:rsid w:val="00800E6D"/>
    <w:rsid w:val="00806AD3"/>
    <w:rsid w:val="00821EE7"/>
    <w:rsid w:val="00845504"/>
    <w:rsid w:val="00846448"/>
    <w:rsid w:val="00887F75"/>
    <w:rsid w:val="00897065"/>
    <w:rsid w:val="008A48FA"/>
    <w:rsid w:val="008A5021"/>
    <w:rsid w:val="008B15D7"/>
    <w:rsid w:val="008C1364"/>
    <w:rsid w:val="008C1784"/>
    <w:rsid w:val="008C6ED2"/>
    <w:rsid w:val="008E0081"/>
    <w:rsid w:val="008E32F5"/>
    <w:rsid w:val="008E5099"/>
    <w:rsid w:val="008F021C"/>
    <w:rsid w:val="00900777"/>
    <w:rsid w:val="0093073B"/>
    <w:rsid w:val="00960313"/>
    <w:rsid w:val="00965F07"/>
    <w:rsid w:val="00970BC3"/>
    <w:rsid w:val="00971CE9"/>
    <w:rsid w:val="00974858"/>
    <w:rsid w:val="00974E0A"/>
    <w:rsid w:val="009B222A"/>
    <w:rsid w:val="009B4783"/>
    <w:rsid w:val="009C1BB5"/>
    <w:rsid w:val="009C3466"/>
    <w:rsid w:val="009D1B09"/>
    <w:rsid w:val="009E7BB2"/>
    <w:rsid w:val="00A010B9"/>
    <w:rsid w:val="00A0353B"/>
    <w:rsid w:val="00A1474C"/>
    <w:rsid w:val="00A26906"/>
    <w:rsid w:val="00A4164C"/>
    <w:rsid w:val="00A636E2"/>
    <w:rsid w:val="00A8267D"/>
    <w:rsid w:val="00A91948"/>
    <w:rsid w:val="00A9326F"/>
    <w:rsid w:val="00A93A64"/>
    <w:rsid w:val="00AA1D13"/>
    <w:rsid w:val="00AA3B2A"/>
    <w:rsid w:val="00AA5C0A"/>
    <w:rsid w:val="00AC1A0F"/>
    <w:rsid w:val="00AD14F2"/>
    <w:rsid w:val="00AD27DE"/>
    <w:rsid w:val="00AD3EE2"/>
    <w:rsid w:val="00AE2315"/>
    <w:rsid w:val="00AF4A96"/>
    <w:rsid w:val="00B11ADD"/>
    <w:rsid w:val="00B9140D"/>
    <w:rsid w:val="00B935D9"/>
    <w:rsid w:val="00BA3536"/>
    <w:rsid w:val="00BB0DB0"/>
    <w:rsid w:val="00BC6D13"/>
    <w:rsid w:val="00BD226E"/>
    <w:rsid w:val="00BE073D"/>
    <w:rsid w:val="00C05113"/>
    <w:rsid w:val="00C062B0"/>
    <w:rsid w:val="00C10C4F"/>
    <w:rsid w:val="00C202FE"/>
    <w:rsid w:val="00C34DC8"/>
    <w:rsid w:val="00C44F2E"/>
    <w:rsid w:val="00C4512B"/>
    <w:rsid w:val="00C65F31"/>
    <w:rsid w:val="00C66715"/>
    <w:rsid w:val="00C86322"/>
    <w:rsid w:val="00C95EE7"/>
    <w:rsid w:val="00C9799C"/>
    <w:rsid w:val="00CB26E2"/>
    <w:rsid w:val="00CB435C"/>
    <w:rsid w:val="00CB78B8"/>
    <w:rsid w:val="00CC1560"/>
    <w:rsid w:val="00CD0F21"/>
    <w:rsid w:val="00CD2A83"/>
    <w:rsid w:val="00CF5F6A"/>
    <w:rsid w:val="00CF6EF9"/>
    <w:rsid w:val="00D16B82"/>
    <w:rsid w:val="00D2666E"/>
    <w:rsid w:val="00D501B0"/>
    <w:rsid w:val="00D63508"/>
    <w:rsid w:val="00D70167"/>
    <w:rsid w:val="00D83AA0"/>
    <w:rsid w:val="00D87B22"/>
    <w:rsid w:val="00D93034"/>
    <w:rsid w:val="00DA0BCC"/>
    <w:rsid w:val="00DC00F9"/>
    <w:rsid w:val="00DD476E"/>
    <w:rsid w:val="00E00F1F"/>
    <w:rsid w:val="00E01E3C"/>
    <w:rsid w:val="00E167A0"/>
    <w:rsid w:val="00E21F73"/>
    <w:rsid w:val="00E32D98"/>
    <w:rsid w:val="00E43414"/>
    <w:rsid w:val="00E51E77"/>
    <w:rsid w:val="00E54A66"/>
    <w:rsid w:val="00E5774B"/>
    <w:rsid w:val="00E8121D"/>
    <w:rsid w:val="00E82C94"/>
    <w:rsid w:val="00EA77E3"/>
    <w:rsid w:val="00EC0211"/>
    <w:rsid w:val="00ED0256"/>
    <w:rsid w:val="00ED0DA7"/>
    <w:rsid w:val="00ED21A0"/>
    <w:rsid w:val="00EF6B02"/>
    <w:rsid w:val="00F05932"/>
    <w:rsid w:val="00F075AE"/>
    <w:rsid w:val="00F1347C"/>
    <w:rsid w:val="00F75612"/>
    <w:rsid w:val="00F80202"/>
    <w:rsid w:val="00F915D8"/>
    <w:rsid w:val="00FA490E"/>
    <w:rsid w:val="00FA66BA"/>
    <w:rsid w:val="00FC3D20"/>
    <w:rsid w:val="00FF2E4D"/>
    <w:rsid w:val="02DF598E"/>
    <w:rsid w:val="02E57613"/>
    <w:rsid w:val="04C76D91"/>
    <w:rsid w:val="04D4291E"/>
    <w:rsid w:val="04EB64FF"/>
    <w:rsid w:val="05164C23"/>
    <w:rsid w:val="07DB4775"/>
    <w:rsid w:val="08F07F5B"/>
    <w:rsid w:val="09C57F9D"/>
    <w:rsid w:val="0AAD14F9"/>
    <w:rsid w:val="0BAF665A"/>
    <w:rsid w:val="0C4E3D58"/>
    <w:rsid w:val="0D870F11"/>
    <w:rsid w:val="0E4A6D82"/>
    <w:rsid w:val="0E611762"/>
    <w:rsid w:val="0EAF6971"/>
    <w:rsid w:val="0EF669E1"/>
    <w:rsid w:val="0FED6590"/>
    <w:rsid w:val="101E7775"/>
    <w:rsid w:val="10DC1574"/>
    <w:rsid w:val="11AA7966"/>
    <w:rsid w:val="12096398"/>
    <w:rsid w:val="13622204"/>
    <w:rsid w:val="13866C43"/>
    <w:rsid w:val="141679B1"/>
    <w:rsid w:val="150258D5"/>
    <w:rsid w:val="15205ED3"/>
    <w:rsid w:val="159E2C66"/>
    <w:rsid w:val="15B85137"/>
    <w:rsid w:val="16041BA6"/>
    <w:rsid w:val="187854F2"/>
    <w:rsid w:val="18C66F88"/>
    <w:rsid w:val="1D231C99"/>
    <w:rsid w:val="1D2A530E"/>
    <w:rsid w:val="1DFF4B09"/>
    <w:rsid w:val="1E8219AC"/>
    <w:rsid w:val="1F0653D6"/>
    <w:rsid w:val="1F6B795B"/>
    <w:rsid w:val="20485A70"/>
    <w:rsid w:val="222114DC"/>
    <w:rsid w:val="243C124F"/>
    <w:rsid w:val="26647BE9"/>
    <w:rsid w:val="27633C24"/>
    <w:rsid w:val="2AC16902"/>
    <w:rsid w:val="2B626CC5"/>
    <w:rsid w:val="2BDB0938"/>
    <w:rsid w:val="2C9024A3"/>
    <w:rsid w:val="2CC55E02"/>
    <w:rsid w:val="2DE7759F"/>
    <w:rsid w:val="2EAF23A5"/>
    <w:rsid w:val="2F0D0E1E"/>
    <w:rsid w:val="2FB35B1D"/>
    <w:rsid w:val="311F0C14"/>
    <w:rsid w:val="32135C95"/>
    <w:rsid w:val="32195D2C"/>
    <w:rsid w:val="34220DB4"/>
    <w:rsid w:val="345745AF"/>
    <w:rsid w:val="3569521C"/>
    <w:rsid w:val="361B61C7"/>
    <w:rsid w:val="36AD3D17"/>
    <w:rsid w:val="378206DC"/>
    <w:rsid w:val="37DE5A4E"/>
    <w:rsid w:val="39124ABE"/>
    <w:rsid w:val="3A512225"/>
    <w:rsid w:val="3B797920"/>
    <w:rsid w:val="3BF375EE"/>
    <w:rsid w:val="3CEE66E0"/>
    <w:rsid w:val="3D2F4655"/>
    <w:rsid w:val="3D8A5562"/>
    <w:rsid w:val="3ECA4CD4"/>
    <w:rsid w:val="3F2D2006"/>
    <w:rsid w:val="3F6251B6"/>
    <w:rsid w:val="40475A64"/>
    <w:rsid w:val="42E23FC2"/>
    <w:rsid w:val="43FB64F2"/>
    <w:rsid w:val="44586DC0"/>
    <w:rsid w:val="46BD6F7D"/>
    <w:rsid w:val="46F05C86"/>
    <w:rsid w:val="475278BE"/>
    <w:rsid w:val="479E0D55"/>
    <w:rsid w:val="48805DD2"/>
    <w:rsid w:val="492963C6"/>
    <w:rsid w:val="492E435B"/>
    <w:rsid w:val="49D942C7"/>
    <w:rsid w:val="4A0D2464"/>
    <w:rsid w:val="4A486C4A"/>
    <w:rsid w:val="4AFE195C"/>
    <w:rsid w:val="4B304B48"/>
    <w:rsid w:val="4B5562A0"/>
    <w:rsid w:val="4BC323F1"/>
    <w:rsid w:val="4BFE1DC3"/>
    <w:rsid w:val="4BFF5B3B"/>
    <w:rsid w:val="4C9B5A25"/>
    <w:rsid w:val="4D354A0D"/>
    <w:rsid w:val="4DB7491F"/>
    <w:rsid w:val="4DC4703C"/>
    <w:rsid w:val="4E0C414E"/>
    <w:rsid w:val="4E755725"/>
    <w:rsid w:val="4ECF7A46"/>
    <w:rsid w:val="4EE57FD2"/>
    <w:rsid w:val="4EE87D43"/>
    <w:rsid w:val="4FAB400F"/>
    <w:rsid w:val="503009B9"/>
    <w:rsid w:val="50804728"/>
    <w:rsid w:val="513203F0"/>
    <w:rsid w:val="51632454"/>
    <w:rsid w:val="52732B71"/>
    <w:rsid w:val="532E3A5B"/>
    <w:rsid w:val="5429718F"/>
    <w:rsid w:val="550769B0"/>
    <w:rsid w:val="56102E1E"/>
    <w:rsid w:val="56124994"/>
    <w:rsid w:val="56D800A3"/>
    <w:rsid w:val="570861EB"/>
    <w:rsid w:val="57DD4F82"/>
    <w:rsid w:val="5A947624"/>
    <w:rsid w:val="5B0203A0"/>
    <w:rsid w:val="5B2353A2"/>
    <w:rsid w:val="5EAB5261"/>
    <w:rsid w:val="5F192639"/>
    <w:rsid w:val="6074044E"/>
    <w:rsid w:val="60FD15F7"/>
    <w:rsid w:val="630270EC"/>
    <w:rsid w:val="6341378F"/>
    <w:rsid w:val="63A75247"/>
    <w:rsid w:val="63E11CB1"/>
    <w:rsid w:val="64FE2942"/>
    <w:rsid w:val="668C5268"/>
    <w:rsid w:val="67AB0CED"/>
    <w:rsid w:val="67D45B94"/>
    <w:rsid w:val="67E36D35"/>
    <w:rsid w:val="6931048F"/>
    <w:rsid w:val="6A00000E"/>
    <w:rsid w:val="6A49294B"/>
    <w:rsid w:val="6A592AD1"/>
    <w:rsid w:val="6A7A5576"/>
    <w:rsid w:val="6BE44B4A"/>
    <w:rsid w:val="6C2E1E33"/>
    <w:rsid w:val="6D3C22F3"/>
    <w:rsid w:val="6D535020"/>
    <w:rsid w:val="6E0005AE"/>
    <w:rsid w:val="6E69475C"/>
    <w:rsid w:val="6ED3511D"/>
    <w:rsid w:val="6FB17851"/>
    <w:rsid w:val="6FB849AC"/>
    <w:rsid w:val="70700E45"/>
    <w:rsid w:val="709C5D3C"/>
    <w:rsid w:val="70DC2E9E"/>
    <w:rsid w:val="714D5A47"/>
    <w:rsid w:val="727857FE"/>
    <w:rsid w:val="73B76B77"/>
    <w:rsid w:val="74A44FDB"/>
    <w:rsid w:val="75856B41"/>
    <w:rsid w:val="76285DB6"/>
    <w:rsid w:val="77777B42"/>
    <w:rsid w:val="7AE845AB"/>
    <w:rsid w:val="7CCD4AFB"/>
    <w:rsid w:val="7D2423F5"/>
    <w:rsid w:val="7D513B99"/>
    <w:rsid w:val="7D9B2509"/>
    <w:rsid w:val="7E6B032E"/>
    <w:rsid w:val="7E764C7A"/>
    <w:rsid w:val="7F5B1F50"/>
    <w:rsid w:val="7F8A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4">
    <w:name w:val="annotation text"/>
    <w:basedOn w:val="1"/>
    <w:link w:val="21"/>
    <w:autoRedefine/>
    <w:qFormat/>
    <w:uiPriority w:val="0"/>
    <w:pPr>
      <w:jc w:val="left"/>
    </w:pPr>
  </w:style>
  <w:style w:type="paragraph" w:styleId="5">
    <w:name w:val="Balloon Text"/>
    <w:basedOn w:val="1"/>
    <w:link w:val="16"/>
    <w:autoRedefine/>
    <w:qFormat/>
    <w:uiPriority w:val="0"/>
    <w:rPr>
      <w:sz w:val="18"/>
      <w:szCs w:val="18"/>
    </w:rPr>
  </w:style>
  <w:style w:type="paragraph" w:styleId="6">
    <w:name w:val="footer"/>
    <w:basedOn w:val="1"/>
    <w:link w:val="1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0"/>
    <w:autoRedefine/>
    <w:qFormat/>
    <w:uiPriority w:val="0"/>
    <w:pPr>
      <w:spacing w:line="594" w:lineRule="exact"/>
      <w:ind w:firstLine="200" w:firstLineChars="200"/>
      <w:jc w:val="left"/>
      <w:outlineLvl w:val="1"/>
    </w:pPr>
    <w:rPr>
      <w:rFonts w:ascii="Times New Roman" w:hAnsi="Times New Roman" w:eastAsia="黑体" w:cstheme="minorBidi"/>
      <w:bCs/>
      <w:kern w:val="28"/>
      <w:sz w:val="32"/>
      <w:szCs w:val="32"/>
    </w:rPr>
  </w:style>
  <w:style w:type="paragraph" w:styleId="9">
    <w:name w:val="Normal (Web)"/>
    <w:basedOn w:val="1"/>
    <w:autoRedefine/>
    <w:unhideWhenUsed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2"/>
    </w:rPr>
  </w:style>
  <w:style w:type="paragraph" w:styleId="10">
    <w:name w:val="annotation subject"/>
    <w:basedOn w:val="4"/>
    <w:next w:val="4"/>
    <w:link w:val="22"/>
    <w:autoRedefine/>
    <w:qFormat/>
    <w:uiPriority w:val="0"/>
    <w:rPr>
      <w:b/>
      <w:bCs/>
    </w:rPr>
  </w:style>
  <w:style w:type="character" w:styleId="13">
    <w:name w:val="Strong"/>
    <w:basedOn w:val="12"/>
    <w:autoRedefine/>
    <w:qFormat/>
    <w:uiPriority w:val="0"/>
    <w:rPr>
      <w:b/>
    </w:rPr>
  </w:style>
  <w:style w:type="character" w:styleId="14">
    <w:name w:val="annotation reference"/>
    <w:basedOn w:val="12"/>
    <w:autoRedefine/>
    <w:qFormat/>
    <w:uiPriority w:val="0"/>
    <w:rPr>
      <w:sz w:val="21"/>
      <w:szCs w:val="21"/>
    </w:rPr>
  </w:style>
  <w:style w:type="paragraph" w:customStyle="1" w:styleId="15">
    <w:name w:val="列出段落2"/>
    <w:basedOn w:val="1"/>
    <w:autoRedefine/>
    <w:qFormat/>
    <w:uiPriority w:val="34"/>
    <w:pPr>
      <w:ind w:firstLine="420" w:firstLineChars="200"/>
    </w:pPr>
  </w:style>
  <w:style w:type="character" w:customStyle="1" w:styleId="16">
    <w:name w:val="批注框文本 字符"/>
    <w:basedOn w:val="12"/>
    <w:link w:val="5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17">
    <w:name w:val="List Paragraph"/>
    <w:basedOn w:val="1"/>
    <w:autoRedefine/>
    <w:qFormat/>
    <w:uiPriority w:val="34"/>
    <w:pPr>
      <w:ind w:firstLine="420" w:firstLineChars="200"/>
    </w:pPr>
    <w:rPr>
      <w:szCs w:val="22"/>
    </w:rPr>
  </w:style>
  <w:style w:type="character" w:customStyle="1" w:styleId="18">
    <w:name w:val="页眉 字符"/>
    <w:basedOn w:val="12"/>
    <w:link w:val="7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页脚 字符"/>
    <w:basedOn w:val="12"/>
    <w:link w:val="6"/>
    <w:autoRedefine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0">
    <w:name w:val="副标题 字符"/>
    <w:basedOn w:val="12"/>
    <w:link w:val="8"/>
    <w:autoRedefine/>
    <w:qFormat/>
    <w:uiPriority w:val="0"/>
    <w:rPr>
      <w:rFonts w:ascii="Times New Roman" w:hAnsi="Times New Roman" w:eastAsia="黑体"/>
      <w:bCs/>
      <w:kern w:val="28"/>
      <w:sz w:val="32"/>
      <w:szCs w:val="32"/>
    </w:rPr>
  </w:style>
  <w:style w:type="character" w:customStyle="1" w:styleId="21">
    <w:name w:val="批注文字 字符"/>
    <w:basedOn w:val="12"/>
    <w:link w:val="4"/>
    <w:autoRedefine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2">
    <w:name w:val="批注主题 字符"/>
    <w:basedOn w:val="21"/>
    <w:link w:val="10"/>
    <w:autoRedefine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  <w:style w:type="paragraph" w:customStyle="1" w:styleId="23">
    <w:name w:val="列出段落1"/>
    <w:basedOn w:val="1"/>
    <w:autoRedefine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996</Words>
  <Characters>1041</Characters>
  <Lines>16</Lines>
  <Paragraphs>4</Paragraphs>
  <TotalTime>4</TotalTime>
  <ScaleCrop>false</ScaleCrop>
  <LinksUpToDate>false</LinksUpToDate>
  <CharactersWithSpaces>1049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2018-10-19T06:08:00Z</dcterms:created>
  <dc:creator>Anonymous</dc:creator>
  <cp:lastModifiedBy>Administrator</cp:lastModifiedBy>
  <dcterms:modified xsi:type="dcterms:W3CDTF">2024-04-17T07:26:44Z</dcterms:modified>
  <dc:title>附件1</dc:title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665DFCFFE0C14853875C9B62468006AB</vt:lpwstr>
  </property>
</Properties>
</file>