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14</w:t>
      </w:r>
    </w:p>
    <w:p>
      <w:pPr>
        <w:keepNext w:val="0"/>
        <w:keepLines w:val="0"/>
        <w:pageBreakBefore w:val="0"/>
        <w:widowControl w:val="0"/>
        <w:kinsoku/>
        <w:wordWrap/>
        <w:overflowPunct/>
        <w:topLinePunct w:val="0"/>
        <w:autoSpaceDE/>
        <w:autoSpaceDN/>
        <w:bidi w:val="0"/>
        <w:adjustRightInd/>
        <w:snapToGrid w:val="0"/>
        <w:spacing w:before="291" w:beforeLines="50" w:after="291" w:afterLines="50"/>
        <w:jc w:val="center"/>
        <w:textAlignment w:val="auto"/>
        <w:outlineLvl w:val="1"/>
        <w:rPr>
          <w:rFonts w:hint="default" w:ascii="Times New Roman" w:hAnsi="Times New Roman" w:cs="Times New Roman"/>
          <w:sz w:val="24"/>
          <w:szCs w:val="16"/>
        </w:rPr>
      </w:pPr>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2" w:leftChars="0" w:firstLine="624" w:firstLineChars="0"/>
        <w:jc w:val="both"/>
        <w:textAlignment w:val="auto"/>
        <w:outlineLvl w:val="9"/>
        <w:rPr>
          <w:rFonts w:hint="default" w:ascii="Times New Roman" w:hAnsi="Times New Roman" w:eastAsia="方正黑体_GBK" w:cs="Times New Roman"/>
          <w:spacing w:val="-6"/>
          <w:sz w:val="32"/>
          <w:szCs w:val="32"/>
          <w:lang w:val="en-GB" w:eastAsia="zh-CN"/>
        </w:rPr>
      </w:pPr>
      <w:r>
        <w:rPr>
          <w:rFonts w:hint="eastAsia" w:ascii="Times New Roman" w:hAnsi="Times New Roman" w:eastAsia="方正黑体_GBK" w:cs="Times New Roman"/>
          <w:spacing w:val="-6"/>
          <w:sz w:val="32"/>
          <w:szCs w:val="32"/>
          <w:lang w:val="en-GB" w:eastAsia="zh-CN"/>
        </w:rPr>
        <w:t>防腐剂混合使用时各自用量占其最大使用量的比例之和</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w:t>
      </w:r>
      <w:r>
        <w:rPr>
          <w:rFonts w:hint="eastAsia" w:ascii="Times New Roman" w:hAnsi="Times New Roman" w:eastAsia="方正仿宋_GBK" w:cs="Times New Roman"/>
          <w:b w:val="0"/>
          <w:bCs w:val="0"/>
          <w:kern w:val="2"/>
          <w:sz w:val="32"/>
          <w:szCs w:val="32"/>
          <w:highlight w:val="none"/>
          <w:lang w:val="en-US" w:eastAsia="zh-CN" w:bidi="ar-SA"/>
        </w:rPr>
        <w:t>糕点中防腐剂混合使用时各自用量占其最大使用量的比例之和</w:t>
      </w:r>
      <w:r>
        <w:rPr>
          <w:rFonts w:hint="default" w:ascii="Times New Roman" w:hAnsi="Times New Roman" w:eastAsia="方正仿宋_GBK" w:cs="Times New Roman"/>
          <w:b w:val="0"/>
          <w:bCs w:val="0"/>
          <w:kern w:val="2"/>
          <w:sz w:val="32"/>
          <w:szCs w:val="32"/>
          <w:highlight w:val="none"/>
          <w:lang w:val="en-US" w:eastAsia="zh-CN" w:bidi="ar-SA"/>
        </w:rPr>
        <w:t>不合格原因可能是企业为增加产品保质期或者为弥补产品生产中卫生条件不佳而混合使用多种防腐剂，致使该产品中的防腐剂各自用量占其最大使用量比例之和超标。</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2" w:leftChars="0" w:firstLine="624" w:firstLine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噻虫嗪</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噻虫嗪是一种全新结构的第二代烟碱类高效低毒杀虫剂，对害虫具有胃毒、触杀及内吸活性，用于叶面喷雾及土壤灌根处理。对刺吸式害虫如蚜虫、飞虱、叶蝉、粉虱等有良好的防效。据中国农药毒性分级标准，属低毒杀虫剂。《食品安全国家标准 食品中农药最大残留限量》（GB 2763—20</w:t>
      </w:r>
      <w:r>
        <w:rPr>
          <w:rFonts w:hint="eastAsia" w:ascii="Times New Roman" w:hAnsi="Times New Roman" w:eastAsia="方正仿宋_GBK" w:cs="Times New Roman"/>
          <w:b w:val="0"/>
          <w:bCs w:val="0"/>
          <w:kern w:val="2"/>
          <w:sz w:val="32"/>
          <w:szCs w:val="32"/>
          <w:highlight w:val="none"/>
          <w:lang w:val="en-US" w:eastAsia="zh-CN" w:bidi="ar-SA"/>
        </w:rPr>
        <w:t>21</w:t>
      </w:r>
      <w:r>
        <w:rPr>
          <w:rFonts w:hint="default" w:ascii="Times New Roman" w:hAnsi="Times New Roman" w:eastAsia="方正仿宋_GBK" w:cs="Times New Roman"/>
          <w:b w:val="0"/>
          <w:bCs w:val="0"/>
          <w:kern w:val="2"/>
          <w:sz w:val="32"/>
          <w:szCs w:val="32"/>
          <w:highlight w:val="none"/>
          <w:lang w:val="en-US" w:eastAsia="zh-CN" w:bidi="ar-SA"/>
        </w:rPr>
        <w:t>）中规定，噻虫嗪</w:t>
      </w:r>
      <w:r>
        <w:rPr>
          <w:rFonts w:hint="eastAsia" w:ascii="Times New Roman" w:hAnsi="Times New Roman" w:eastAsia="方正仿宋_GBK" w:cs="Times New Roman"/>
          <w:b w:val="0"/>
          <w:bCs w:val="0"/>
          <w:kern w:val="2"/>
          <w:sz w:val="32"/>
          <w:szCs w:val="32"/>
          <w:highlight w:val="none"/>
          <w:lang w:val="en-US" w:eastAsia="zh-CN" w:bidi="ar-SA"/>
        </w:rPr>
        <w:t>在葱和香蕉中</w:t>
      </w:r>
      <w:r>
        <w:rPr>
          <w:rFonts w:hint="default" w:ascii="Times New Roman" w:hAnsi="Times New Roman" w:eastAsia="方正仿宋_GBK" w:cs="Times New Roman"/>
          <w:b w:val="0"/>
          <w:bCs w:val="0"/>
          <w:kern w:val="2"/>
          <w:sz w:val="32"/>
          <w:szCs w:val="32"/>
          <w:highlight w:val="none"/>
          <w:lang w:val="en-US" w:eastAsia="zh-CN" w:bidi="ar-SA"/>
        </w:rPr>
        <w:t>的最大残留限量值</w:t>
      </w:r>
      <w:r>
        <w:rPr>
          <w:rFonts w:hint="eastAsia" w:ascii="Times New Roman" w:hAnsi="Times New Roman" w:eastAsia="方正仿宋_GBK" w:cs="Times New Roman"/>
          <w:b w:val="0"/>
          <w:bCs w:val="0"/>
          <w:kern w:val="2"/>
          <w:sz w:val="32"/>
          <w:szCs w:val="32"/>
          <w:highlight w:val="none"/>
          <w:lang w:val="en-US" w:eastAsia="zh-CN" w:bidi="ar-SA"/>
        </w:rPr>
        <w:t>分别</w:t>
      </w:r>
      <w:r>
        <w:rPr>
          <w:rFonts w:hint="default" w:ascii="Times New Roman" w:hAnsi="Times New Roman" w:eastAsia="方正仿宋_GBK" w:cs="Times New Roman"/>
          <w:b w:val="0"/>
          <w:bCs w:val="0"/>
          <w:kern w:val="2"/>
          <w:sz w:val="32"/>
          <w:szCs w:val="32"/>
          <w:highlight w:val="none"/>
          <w:lang w:val="en-US" w:eastAsia="zh-CN" w:bidi="ar-SA"/>
        </w:rPr>
        <w:t>为0.3mg/kg</w:t>
      </w:r>
      <w:r>
        <w:rPr>
          <w:rFonts w:hint="eastAsia" w:ascii="Times New Roman" w:hAnsi="Times New Roman" w:eastAsia="方正仿宋_GBK" w:cs="Times New Roman"/>
          <w:b w:val="0"/>
          <w:bCs w:val="0"/>
          <w:kern w:val="2"/>
          <w:sz w:val="32"/>
          <w:szCs w:val="32"/>
          <w:highlight w:val="none"/>
          <w:lang w:val="en-US" w:eastAsia="zh-CN" w:bidi="ar-SA"/>
        </w:rPr>
        <w:t>和</w:t>
      </w:r>
      <w:r>
        <w:rPr>
          <w:rFonts w:hint="default" w:ascii="Times New Roman" w:hAnsi="Times New Roman" w:eastAsia="方正仿宋_GBK" w:cs="Times New Roman"/>
          <w:b w:val="0"/>
          <w:bCs w:val="0"/>
          <w:kern w:val="2"/>
          <w:sz w:val="32"/>
          <w:szCs w:val="32"/>
          <w:highlight w:val="none"/>
          <w:lang w:val="en-US" w:eastAsia="zh-CN" w:bidi="ar-SA"/>
        </w:rPr>
        <w:t>0.</w:t>
      </w:r>
      <w:r>
        <w:rPr>
          <w:rFonts w:hint="eastAsia" w:ascii="Times New Roman" w:hAnsi="Times New Roman" w:eastAsia="方正仿宋_GBK" w:cs="Times New Roman"/>
          <w:b w:val="0"/>
          <w:bCs w:val="0"/>
          <w:kern w:val="2"/>
          <w:sz w:val="32"/>
          <w:szCs w:val="32"/>
          <w:highlight w:val="none"/>
          <w:lang w:val="en-US" w:eastAsia="zh-CN" w:bidi="ar-SA"/>
        </w:rPr>
        <w:t>02</w:t>
      </w:r>
      <w:r>
        <w:rPr>
          <w:rFonts w:hint="default" w:ascii="Times New Roman" w:hAnsi="Times New Roman" w:eastAsia="方正仿宋_GBK" w:cs="Times New Roman"/>
          <w:b w:val="0"/>
          <w:bCs w:val="0"/>
          <w:kern w:val="2"/>
          <w:sz w:val="32"/>
          <w:szCs w:val="32"/>
          <w:highlight w:val="none"/>
          <w:lang w:val="en-US" w:eastAsia="zh-CN" w:bidi="ar-SA"/>
        </w:rPr>
        <w:t>mg/kg。噻虫嗪不合格原因可能是种植户为快速控制虫害，加大用药量或未遵守采摘间隔期规定，致使上市销售的产品中残留量超标。</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2" w:leftChars="0" w:firstLine="624" w:firstLine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氟苯尼考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氟苯尼考是一种兽医专用酰胺醇类广谱抗菌药，用于敏感细菌所致的猪、鸡及鱼的细菌性疾病，尤其对呼吸系统及肠道感染疗效显著。《食品安全国家标准 食品中兽药最大残留限量》（GB 31650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2019）中规定，氟苯尼考在</w:t>
      </w:r>
      <w:r>
        <w:rPr>
          <w:rFonts w:hint="eastAsia" w:ascii="Times New Roman" w:hAnsi="Times New Roman" w:eastAsia="方正仿宋_GBK" w:cs="Times New Roman"/>
          <w:b w:val="0"/>
          <w:bCs w:val="0"/>
          <w:kern w:val="2"/>
          <w:sz w:val="32"/>
          <w:szCs w:val="32"/>
          <w:highlight w:val="none"/>
          <w:lang w:val="en-US" w:eastAsia="zh-CN" w:bidi="ar-SA"/>
        </w:rPr>
        <w:t>猪肉中的最大残留限量为300µg/kg</w:t>
      </w:r>
      <w:r>
        <w:rPr>
          <w:rFonts w:hint="default" w:ascii="Times New Roman" w:hAnsi="Times New Roman" w:eastAsia="方正仿宋_GBK" w:cs="Times New Roman"/>
          <w:b w:val="0"/>
          <w:bCs w:val="0"/>
          <w:kern w:val="2"/>
          <w:sz w:val="32"/>
          <w:szCs w:val="32"/>
          <w:highlight w:val="none"/>
          <w:lang w:val="en-US" w:eastAsia="zh-CN" w:bidi="ar-SA"/>
        </w:rPr>
        <w:t>。</w:t>
      </w:r>
      <w:r>
        <w:rPr>
          <w:rFonts w:hint="eastAsia" w:ascii="Times New Roman" w:hAnsi="Times New Roman" w:eastAsia="方正仿宋_GBK" w:cs="Times New Roman"/>
          <w:b w:val="0"/>
          <w:bCs w:val="0"/>
          <w:kern w:val="2"/>
          <w:sz w:val="32"/>
          <w:szCs w:val="32"/>
          <w:highlight w:val="none"/>
          <w:lang w:val="en-US" w:eastAsia="zh-CN" w:bidi="ar-SA"/>
        </w:rPr>
        <w:t>猪肉</w:t>
      </w:r>
      <w:r>
        <w:rPr>
          <w:rFonts w:hint="default" w:ascii="Times New Roman" w:hAnsi="Times New Roman" w:eastAsia="方正仿宋_GBK" w:cs="Times New Roman"/>
          <w:b w:val="0"/>
          <w:bCs w:val="0"/>
          <w:kern w:val="2"/>
          <w:sz w:val="32"/>
          <w:szCs w:val="32"/>
          <w:highlight w:val="none"/>
          <w:lang w:val="en-US" w:eastAsia="zh-CN" w:bidi="ar-SA"/>
        </w:rPr>
        <w:t>中检出氟苯尼考的原因，可能是养殖户在养殖过程中违规使用相关兽药。</w:t>
      </w:r>
    </w:p>
    <w:p>
      <w:pPr>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2" w:leftChars="0" w:firstLine="624" w:firstLine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多西环素</w:t>
      </w:r>
    </w:p>
    <w:p>
      <w:pPr>
        <w:pStyle w:val="2"/>
        <w:keepNext w:val="0"/>
        <w:keepLines w:val="0"/>
        <w:pageBreakBefore w:val="0"/>
        <w:kinsoku/>
        <w:wordWrap/>
        <w:overflowPunct/>
        <w:topLinePunct w:val="0"/>
        <w:autoSpaceDE/>
        <w:autoSpaceDN/>
        <w:bidi w:val="0"/>
        <w:snapToGrid w:val="0"/>
        <w:spacing w:after="0" w:line="560" w:lineRule="exact"/>
        <w:textAlignment w:val="auto"/>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多西环素（强力霉素）是一种四环素类药物，一般用于治疗衣原体、支原体感染。《食品安全国家标准 食品中41种兽药最大残留限量》</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GB 31650.1</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2022</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中规定，多西环素（强力霉素）在</w:t>
      </w:r>
      <w:r>
        <w:rPr>
          <w:rFonts w:hint="eastAsia" w:ascii="Times New Roman" w:hAnsi="Times New Roman" w:eastAsia="方正仿宋_GBK" w:cs="Times New Roman"/>
          <w:b w:val="0"/>
          <w:bCs w:val="0"/>
          <w:kern w:val="2"/>
          <w:sz w:val="32"/>
          <w:szCs w:val="32"/>
          <w:highlight w:val="none"/>
          <w:lang w:val="en-GB" w:eastAsia="zh-CN" w:bidi="ar-SA"/>
        </w:rPr>
        <w:t>禽</w:t>
      </w:r>
      <w:r>
        <w:rPr>
          <w:rFonts w:hint="default" w:ascii="Times New Roman" w:hAnsi="Times New Roman" w:eastAsia="方正仿宋_GBK" w:cs="Times New Roman"/>
          <w:b w:val="0"/>
          <w:bCs w:val="0"/>
          <w:kern w:val="2"/>
          <w:sz w:val="32"/>
          <w:szCs w:val="32"/>
          <w:highlight w:val="none"/>
          <w:lang w:val="en-GB" w:eastAsia="zh-CN" w:bidi="ar-SA"/>
        </w:rPr>
        <w:t>产蛋期禁用。鸡肉中多西环素（强力霉素）超标的原因，可能是养殖户在养殖过程中违规使用相关兽药。</w:t>
      </w:r>
    </w:p>
    <w:p>
      <w:pPr>
        <w:rPr>
          <w:rFonts w:hint="default"/>
          <w:lang w:val="en-US" w:eastAsia="zh-CN"/>
        </w:rPr>
      </w:pPr>
      <w:bookmarkStart w:id="0" w:name="_GoBack"/>
      <w:bookmarkEnd w:id="0"/>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Liberation Serif">
    <w:panose1 w:val="02020603050405020304"/>
    <w:charset w:val="00"/>
    <w:family w:val="auto"/>
    <w:pitch w:val="default"/>
    <w:sig w:usb0="A00002AF" w:usb1="500078FB" w:usb2="00000000" w:usb3="00000000" w:csb0="6000009F" w:csb1="DFD7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7DE0CBD"/>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7ED31C"/>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AD0645"/>
    <w:rsid w:val="4FC70334"/>
    <w:rsid w:val="4FD60C7C"/>
    <w:rsid w:val="52D4703A"/>
    <w:rsid w:val="534230F9"/>
    <w:rsid w:val="54D163A0"/>
    <w:rsid w:val="555B5CD3"/>
    <w:rsid w:val="575B13D1"/>
    <w:rsid w:val="577B200D"/>
    <w:rsid w:val="57A53A3A"/>
    <w:rsid w:val="57BDDC82"/>
    <w:rsid w:val="57CB2923"/>
    <w:rsid w:val="5AFFEA09"/>
    <w:rsid w:val="5C9E489B"/>
    <w:rsid w:val="5CC74388"/>
    <w:rsid w:val="5E0540D0"/>
    <w:rsid w:val="5E4907CD"/>
    <w:rsid w:val="5F7B3A23"/>
    <w:rsid w:val="5FE6D425"/>
    <w:rsid w:val="61DD6D44"/>
    <w:rsid w:val="63DF171E"/>
    <w:rsid w:val="65CF6D9C"/>
    <w:rsid w:val="66023456"/>
    <w:rsid w:val="66325BC9"/>
    <w:rsid w:val="66B2626D"/>
    <w:rsid w:val="67282ECF"/>
    <w:rsid w:val="673FC0B4"/>
    <w:rsid w:val="689C4C03"/>
    <w:rsid w:val="68FA2757"/>
    <w:rsid w:val="69F83E9D"/>
    <w:rsid w:val="6A945E1B"/>
    <w:rsid w:val="6BA279B0"/>
    <w:rsid w:val="6BB87E7B"/>
    <w:rsid w:val="6BBBAF32"/>
    <w:rsid w:val="6D0E14DC"/>
    <w:rsid w:val="6F6FCE94"/>
    <w:rsid w:val="730C532F"/>
    <w:rsid w:val="73B2774B"/>
    <w:rsid w:val="73BC2552"/>
    <w:rsid w:val="73F564A7"/>
    <w:rsid w:val="740B3C12"/>
    <w:rsid w:val="74E00729"/>
    <w:rsid w:val="75057978"/>
    <w:rsid w:val="75202347"/>
    <w:rsid w:val="7593147D"/>
    <w:rsid w:val="76246CC8"/>
    <w:rsid w:val="76BF1C19"/>
    <w:rsid w:val="76D75FC2"/>
    <w:rsid w:val="77887501"/>
    <w:rsid w:val="77DF9F9B"/>
    <w:rsid w:val="77E37BF6"/>
    <w:rsid w:val="78971D8D"/>
    <w:rsid w:val="78EA5C2B"/>
    <w:rsid w:val="79464C25"/>
    <w:rsid w:val="79516C02"/>
    <w:rsid w:val="79CB70EC"/>
    <w:rsid w:val="79EF92A3"/>
    <w:rsid w:val="7AEF50DD"/>
    <w:rsid w:val="7BC16283"/>
    <w:rsid w:val="7BE61DA8"/>
    <w:rsid w:val="7C6619F8"/>
    <w:rsid w:val="7DAB5A58"/>
    <w:rsid w:val="7DC149D8"/>
    <w:rsid w:val="7ECE4128"/>
    <w:rsid w:val="7F3F9D27"/>
    <w:rsid w:val="7F77305C"/>
    <w:rsid w:val="7F77CFFA"/>
    <w:rsid w:val="7F7F6AAB"/>
    <w:rsid w:val="7FAAA59C"/>
    <w:rsid w:val="7FBB2204"/>
    <w:rsid w:val="7FD92FCE"/>
    <w:rsid w:val="7FDE0516"/>
    <w:rsid w:val="7FF6324C"/>
    <w:rsid w:val="7FFB63B1"/>
    <w:rsid w:val="7FFBC323"/>
    <w:rsid w:val="85CF448D"/>
    <w:rsid w:val="89F22F62"/>
    <w:rsid w:val="8BE76863"/>
    <w:rsid w:val="A25F6545"/>
    <w:rsid w:val="A7C5467D"/>
    <w:rsid w:val="ABCFB818"/>
    <w:rsid w:val="ABFBF616"/>
    <w:rsid w:val="B33FEA55"/>
    <w:rsid w:val="B9AD008D"/>
    <w:rsid w:val="BA7B23C6"/>
    <w:rsid w:val="BF77EBD6"/>
    <w:rsid w:val="BFFFE9F5"/>
    <w:rsid w:val="BFFFEA05"/>
    <w:rsid w:val="D59F7A23"/>
    <w:rsid w:val="D5FE1140"/>
    <w:rsid w:val="D6FFFCC9"/>
    <w:rsid w:val="DFDE77E3"/>
    <w:rsid w:val="DFFE471E"/>
    <w:rsid w:val="E7FF09A6"/>
    <w:rsid w:val="E8FDFFC9"/>
    <w:rsid w:val="EBFB0C7E"/>
    <w:rsid w:val="ED76D6E8"/>
    <w:rsid w:val="EDFD6938"/>
    <w:rsid w:val="EEFF22F4"/>
    <w:rsid w:val="EFFF94FF"/>
    <w:rsid w:val="F15F95D9"/>
    <w:rsid w:val="F52EA8C1"/>
    <w:rsid w:val="F5DFD693"/>
    <w:rsid w:val="F77EDC06"/>
    <w:rsid w:val="F9741810"/>
    <w:rsid w:val="F9D644EC"/>
    <w:rsid w:val="FB772F61"/>
    <w:rsid w:val="FBAF4E1A"/>
    <w:rsid w:val="FEBD9270"/>
    <w:rsid w:val="FEDD18BB"/>
    <w:rsid w:val="FF5787E3"/>
    <w:rsid w:val="FF5FC2EF"/>
    <w:rsid w:val="FF7E52F0"/>
    <w:rsid w:val="FF7F41D3"/>
    <w:rsid w:val="FF9B8B7D"/>
    <w:rsid w:val="FFCC5B6F"/>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0</TotalTime>
  <ScaleCrop>false</ScaleCrop>
  <LinksUpToDate>false</LinksUpToDate>
  <CharactersWithSpaces>774</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2019-04-28T12:31:00Z</dcterms:created>
  <dc:creator>SDWM</dc:creator>
  <cp:lastModifiedBy>魏立慧</cp:lastModifiedBy>
  <cp:lastPrinted>2016-09-21T10:58:00Z</cp:lastPrinted>
  <dcterms:modified xsi:type="dcterms:W3CDTF">2024-05-11T17:12:52Z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F46EFFB5EC0D4DB5A641BE2063BCF22F</vt:lpwstr>
  </property>
</Properties>
</file>