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240" w:lineRule="auto"/>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240" w:lineRule="auto"/>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Times New Roman"/>
          <w:color w:val="auto"/>
          <w:kern w:val="2"/>
          <w:sz w:val="32"/>
          <w:szCs w:val="32"/>
          <w:u w:val="none"/>
          <w:lang w:val="en-US" w:eastAsia="zh-CN" w:bidi="ar-SA"/>
        </w:rPr>
        <w:t>一、</w:t>
      </w:r>
      <w:r>
        <w:rPr>
          <w:rFonts w:hint="eastAsia" w:ascii="黑体" w:hAnsi="黑体" w:eastAsia="黑体" w:cs="仿宋_GB2312"/>
          <w:color w:val="auto"/>
          <w:kern w:val="2"/>
          <w:sz w:val="32"/>
          <w:szCs w:val="32"/>
          <w:u w:val="none"/>
          <w:lang w:val="en-US" w:eastAsia="zh-CN"/>
        </w:rPr>
        <w:t>霉菌</w:t>
      </w:r>
    </w:p>
    <w:p>
      <w:pPr>
        <w:keepNext w:val="0"/>
        <w:keepLines w:val="0"/>
        <w:pageBreakBefore w:val="0"/>
        <w:numPr>
          <w:ilvl w:val="0"/>
          <w:numId w:val="0"/>
        </w:numPr>
        <w:kinsoku/>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w:t>
      </w:r>
      <w:bookmarkStart w:id="0" w:name="_GoBack"/>
      <w:bookmarkEnd w:id="0"/>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keepNext w:val="0"/>
        <w:keepLines w:val="0"/>
        <w:pageBreakBefore w:val="0"/>
        <w:kinsoku/>
        <w:overflowPunct/>
        <w:topLinePunct w:val="0"/>
        <w:autoSpaceDE/>
        <w:bidi w:val="0"/>
        <w:adjustRightInd/>
        <w:snapToGrid/>
        <w:spacing w:line="240" w:lineRule="auto"/>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二、克百威</w:t>
      </w:r>
    </w:p>
    <w:p>
      <w:pPr>
        <w:keepNext w:val="0"/>
        <w:keepLines w:val="0"/>
        <w:pageBreakBefore w:val="0"/>
        <w:numPr>
          <w:ilvl w:val="0"/>
          <w:numId w:val="0"/>
        </w:numPr>
        <w:kinsoku/>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克百威又名呋喃丹，是氨基甲酸酯类农药中常见的一种杀虫剂。《食品安全国家标准 食品中农药最大残留限量》（GB 2763—2021）中规定，克百威在代用茶中的最大残留限量值为0.02mg/kg。造成不合格的原因可能是原料本身克百威残留超标或原料验收把关不严造成。</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eastAsia" w:ascii="黑体" w:hAnsi="黑体" w:eastAsia="黑体" w:cs="仿宋_GB2312"/>
          <w:color w:val="auto"/>
          <w:kern w:val="2"/>
          <w:sz w:val="32"/>
          <w:szCs w:val="32"/>
          <w:u w:val="none"/>
          <w:lang w:val="en-US" w:eastAsia="zh-CN"/>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rPr>
        <w:t>三、</w:t>
      </w:r>
      <w:r>
        <w:rPr>
          <w:rFonts w:hint="eastAsia" w:ascii="黑体" w:hAnsi="黑体" w:eastAsia="黑体" w:cs="仿宋_GB2312"/>
          <w:color w:val="auto"/>
          <w:kern w:val="2"/>
          <w:sz w:val="32"/>
          <w:szCs w:val="32"/>
          <w:u w:val="none"/>
        </w:rPr>
        <w:t>菌落总数</w:t>
      </w:r>
    </w:p>
    <w:p>
      <w:pPr>
        <w:keepNext w:val="0"/>
        <w:keepLines w:val="0"/>
        <w:pageBreakBefore w:val="0"/>
        <w:kinsoku/>
        <w:wordWrap w:val="0"/>
        <w:overflowPunct/>
        <w:topLinePunct w:val="0"/>
        <w:autoSpaceDE/>
        <w:autoSpaceDN w:val="0"/>
        <w:bidi w:val="0"/>
        <w:adjustRightInd/>
        <w:snapToGrid/>
        <w:spacing w:line="240" w:lineRule="auto"/>
        <w:ind w:firstLine="627" w:firstLineChars="196"/>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菌落总数是指示性微生物指标，用以反映食品卫生状况。超标原因可能是生产企业所使用的原辅料初始菌落数较高；也可能是生产加工过程中卫生条件控制不严格；还可能与产品包装密封不严、储运条件控制不当等有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Lines="0" w:beforeAutospacing="0" w:after="0" w:afterLines="0" w:afterAutospacing="0" w:line="240" w:lineRule="auto"/>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w:t>
      </w:r>
      <w:r>
        <w:rPr>
          <w:rFonts w:hint="default" w:ascii="黑体" w:hAnsi="黑体" w:eastAsia="黑体" w:cs="仿宋_GB2312"/>
          <w:color w:val="000000" w:themeColor="text1"/>
          <w:kern w:val="2"/>
          <w:sz w:val="32"/>
          <w:szCs w:val="32"/>
          <w:u w:val="none"/>
          <w:lang w:val="en-US" w:eastAsia="zh-CN"/>
          <w14:textFill>
            <w14:solidFill>
              <w14:schemeClr w14:val="tx1"/>
            </w14:solidFill>
          </w14:textFill>
        </w:rPr>
        <w:t>脱氢乙酸及其钠盐</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default" w:ascii="仿宋" w:hAnsi="仿宋" w:eastAsia="仿宋" w:cs="仿宋"/>
          <w:color w:val="auto"/>
          <w:kern w:val="2"/>
          <w:sz w:val="32"/>
          <w:szCs w:val="32"/>
          <w:u w:val="none"/>
          <w:lang w:val="en-US" w:eastAsia="zh-CN" w:bidi="ar-SA"/>
        </w:rPr>
      </w:pPr>
      <w:r>
        <w:rPr>
          <w:rFonts w:hint="default" w:ascii="仿宋" w:hAnsi="仿宋" w:eastAsia="仿宋" w:cs="仿宋"/>
          <w:color w:val="auto"/>
          <w:kern w:val="2"/>
          <w:sz w:val="32"/>
          <w:szCs w:val="32"/>
          <w:u w:val="none"/>
          <w:lang w:val="en-US" w:eastAsia="zh-CN" w:bidi="ar-SA"/>
        </w:rPr>
        <w:t>脱氢乙酸及其钠盐作为一种广谱食品防腐剂，对霉菌和酵母菌的抑制能力强。《食品安全国家标准 食品添加剂使用标准》（GB 2760-2014）中规定，糕点中脱氢乙酸及其钠盐（以脱氢乙酸计）最大使用量为0.5g/kg。脱氢乙酸及其钠盐（以脱氢乙酸计）检验值超标的原因，可能是生产企业为防止食品腐败变质、延长食品保质期，超限量使用相关食品添加剂。</w:t>
      </w:r>
    </w:p>
    <w:p>
      <w:pPr>
        <w:keepNext w:val="0"/>
        <w:keepLines w:val="0"/>
        <w:pageBreakBefore w:val="0"/>
        <w:numPr>
          <w:ilvl w:val="0"/>
          <w:numId w:val="0"/>
        </w:numPr>
        <w:kinsoku/>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w:t>
      </w:r>
      <w:r>
        <w:rPr>
          <w:rFonts w:hint="eastAsia" w:ascii="黑体" w:hAnsi="黑体" w:eastAsia="黑体" w:cs="仿宋_GB2312"/>
          <w:color w:val="000000" w:themeColor="text1"/>
          <w:kern w:val="2"/>
          <w:sz w:val="32"/>
          <w:szCs w:val="32"/>
          <w:u w:val="none"/>
          <w14:textFill>
            <w14:solidFill>
              <w14:schemeClr w14:val="tx1"/>
            </w14:solidFill>
          </w14:textFill>
        </w:rPr>
        <w:t>酒精度</w:t>
      </w:r>
    </w:p>
    <w:p>
      <w:pPr>
        <w:keepNext w:val="0"/>
        <w:keepLines w:val="0"/>
        <w:pageBreakBefore w:val="0"/>
        <w:numPr>
          <w:ilvl w:val="0"/>
          <w:numId w:val="0"/>
        </w:numPr>
        <w:kinsoku/>
        <w:overflowPunct/>
        <w:topLinePunct w:val="0"/>
        <w:autoSpaceDE/>
        <w:bidi w:val="0"/>
        <w:adjustRightInd/>
        <w:snapToGrid/>
        <w:spacing w:line="240" w:lineRule="auto"/>
        <w:ind w:firstLine="640" w:firstLineChars="200"/>
        <w:textAlignment w:val="auto"/>
        <w:rPr>
          <w:rFonts w:hint="eastAsia"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酒精度又叫酒度，是指在20℃时，100毫升酒中含有乙醇（酒精）的毫升数，即体积（容量）的百分数。酒精度是酒类产品的一个重要理化指标，含量不达标主要影响产品的品质。</w:t>
      </w:r>
      <w:r>
        <w:rPr>
          <w:rFonts w:hint="eastAsia" w:ascii="仿宋" w:hAnsi="仿宋" w:eastAsia="仿宋" w:cs="仿宋"/>
          <w:color w:val="000000"/>
          <w:kern w:val="0"/>
          <w:sz w:val="32"/>
          <w:szCs w:val="32"/>
          <w:u w:val="none"/>
          <w:lang w:val="en-US" w:eastAsia="zh-CN" w:bidi="ar-SA"/>
        </w:rPr>
        <w:t>酒类中</w:t>
      </w:r>
      <w:r>
        <w:rPr>
          <w:rFonts w:hint="default" w:ascii="仿宋" w:hAnsi="仿宋" w:eastAsia="仿宋" w:cs="仿宋"/>
          <w:color w:val="000000"/>
          <w:kern w:val="0"/>
          <w:sz w:val="32"/>
          <w:szCs w:val="32"/>
          <w:u w:val="none"/>
          <w:lang w:val="en-US" w:eastAsia="zh-CN" w:bidi="ar-SA"/>
        </w:rPr>
        <w:t>酒精度未达到产品标签明示要求的原因，可能是个别企业生产工艺控制不严格或生产工艺水平较低，无法准确控制酒精度；也可能是生产企业检验器具未检定或检验过程不规范，造成检验结果有偏差；还可能是包装不严密造成酒精挥发</w:t>
      </w:r>
      <w:r>
        <w:rPr>
          <w:rFonts w:hint="eastAsia" w:ascii="仿宋" w:hAnsi="仿宋" w:eastAsia="仿宋" w:cs="仿宋"/>
          <w:color w:val="000000"/>
          <w:kern w:val="0"/>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六、恩诺沙星</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最大残留限量为100μg/kg。动物源性食品中恩诺沙星超标的原因，可能是在养殖过程中为快速控制疫病，养殖户违规加大用药量或不遵守休药期规定，致使产品上市销售时药物残留超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240" w:lineRule="auto"/>
        <w:ind w:right="0" w:rightChars="0"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七、联苯菊酯</w:t>
      </w:r>
    </w:p>
    <w:p>
      <w:pPr>
        <w:keepNext w:val="0"/>
        <w:keepLines w:val="0"/>
        <w:pageBreakBefore w:val="0"/>
        <w:numPr>
          <w:ilvl w:val="0"/>
          <w:numId w:val="0"/>
        </w:numPr>
        <w:kinsoku/>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联苯菊酯具有击倒作用强、广谱、高效、快速、长残效等特点，以触杀作用和胃毒作用为主，无内吸作用。对多种叶面害虫有效，包括鞘翅目、双翅目、异翅亚目、同翅目、鳞翅目和直翅目害虫；对某些种类的鳞虫也有效。《食品安全国家标准 食品中农药最大残留限量》（GB 2763-2021）中规定，联苯菊酯在水果中最大残留限量为0.05mg/kg。造成联苯菊酯不合格的原因可能是为快速控制虫害而违规使用农药导致。</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八、</w:t>
      </w:r>
      <w:r>
        <w:rPr>
          <w:rFonts w:hint="eastAsia" w:ascii="黑体" w:hAnsi="黑体" w:eastAsia="黑体" w:cs="仿宋_GB2312"/>
          <w:color w:val="000000" w:themeColor="text1"/>
          <w:kern w:val="2"/>
          <w:sz w:val="32"/>
          <w:szCs w:val="32"/>
          <w:u w:val="none"/>
          <w14:textFill>
            <w14:solidFill>
              <w14:schemeClr w14:val="tx1"/>
            </w14:solidFill>
          </w14:textFill>
        </w:rPr>
        <w:t>吡虫啉</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吡虫啉是烟碱类超高效杀虫剂，具有广谱、高效、低毒、低残留，害虫不易产生抗性，并有触杀、胃毒和内吸等多重作用。产品药效和温度呈正相关，温度高，杀虫效果好，主要用于防治刺吸式口器害虫。《食品安全国家标准 食品中农药最大残留限量》（GB 2763-2021）中规定水果中</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吡虫啉</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最大残留限量为0.05mg/kg。呲虫啉超标的原因可能是种植环节没有按照农药使用规范用药。</w:t>
      </w:r>
    </w:p>
    <w:p>
      <w:pPr>
        <w:keepNext w:val="0"/>
        <w:keepLines w:val="0"/>
        <w:pageBreakBefore w:val="0"/>
        <w:kinsoku/>
        <w:overflowPunct/>
        <w:topLinePunct w:val="0"/>
        <w:autoSpaceDE/>
        <w:bidi w:val="0"/>
        <w:adjustRightInd/>
        <w:snapToGrid/>
        <w:spacing w:line="240" w:lineRule="auto"/>
        <w:ind w:firstLine="640" w:firstLineChars="200"/>
        <w:textAlignment w:val="auto"/>
        <w:rPr>
          <w:rFonts w:ascii="黑体" w:hAnsi="黑体" w:eastAsia="黑体" w:cs="Times New Roman"/>
          <w:sz w:val="32"/>
          <w:szCs w:val="32"/>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九、</w:t>
      </w:r>
      <w:r>
        <w:rPr>
          <w:rFonts w:hint="eastAsia" w:ascii="黑体" w:hAnsi="黑体" w:eastAsia="黑体" w:cs="Times New Roman"/>
          <w:sz w:val="32"/>
          <w:szCs w:val="32"/>
        </w:rPr>
        <w:t>烯酰吗啉</w:t>
      </w:r>
    </w:p>
    <w:p>
      <w:pPr>
        <w:keepNext w:val="0"/>
        <w:keepLines w:val="0"/>
        <w:pageBreakBefore w:val="0"/>
        <w:kinsoku/>
        <w:overflowPunct/>
        <w:topLinePunct w:val="0"/>
        <w:autoSpaceDE/>
        <w:bidi w:val="0"/>
        <w:adjustRightInd/>
        <w:snapToGrid/>
        <w:spacing w:line="240" w:lineRule="auto"/>
        <w:ind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烯酰吗啉是一种杀菌剂（农药中的一类），主要用作消灭真菌性病害，可用来防治水果霜霉病等。但就毒性大小而言，属于低毒杀菌剂。</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《食品安全国家标准 食品中农药最大残留限量》（GB 2763-2021）中</w:t>
      </w:r>
      <w:r>
        <w:rPr>
          <w:rFonts w:hint="eastAsia" w:ascii="仿宋" w:hAnsi="仿宋" w:eastAsia="仿宋" w:cs="仿宋"/>
          <w:color w:val="auto"/>
          <w:kern w:val="2"/>
          <w:sz w:val="32"/>
          <w:szCs w:val="32"/>
          <w:u w:val="none"/>
          <w:lang w:val="en-US" w:eastAsia="zh-CN" w:bidi="ar-SA"/>
        </w:rPr>
        <w:t>规定了烯酰吗啉在水果中的限量值是0.05mg/kg。水果中烯酰吗啉残留超标，可能是生产者未严格按照标准规定施药或施药后未严格落实农药安全间隔期造成。</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十、二氧化硫残留量</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240" w:lineRule="auto"/>
        <w:ind w:firstLine="640" w:firstLineChars="200"/>
        <w:jc w:val="both"/>
        <w:textAlignment w:val="auto"/>
        <w:rPr>
          <w:rFonts w:hint="default" w:ascii="仿宋" w:hAnsi="仿宋" w:eastAsia="仿宋" w:cs="仿宋"/>
          <w:color w:val="auto"/>
          <w:kern w:val="2"/>
          <w:sz w:val="32"/>
          <w:szCs w:val="32"/>
          <w:u w:val="none"/>
          <w:lang w:val="en-US" w:eastAsia="zh-CN" w:bidi="ar-SA"/>
        </w:rPr>
      </w:pPr>
      <w:r>
        <w:rPr>
          <w:rFonts w:hint="default" w:ascii="仿宋" w:hAnsi="仿宋" w:eastAsia="仿宋" w:cs="仿宋"/>
          <w:color w:val="auto"/>
          <w:kern w:val="2"/>
          <w:sz w:val="32"/>
          <w:szCs w:val="32"/>
          <w:u w:val="none"/>
          <w:lang w:val="en-US" w:eastAsia="zh-CN" w:bidi="ar-SA"/>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不合格的原因是生产企业未按照《食品安全国家标准食品添加剂使用标准》（GB 2760—2014）规定，超范围或超限量使用二氧化硫</w:t>
      </w:r>
      <w:r>
        <w:rPr>
          <w:rFonts w:hint="eastAsia" w:ascii="仿宋" w:hAnsi="仿宋" w:eastAsia="仿宋" w:cs="仿宋"/>
          <w:color w:val="auto"/>
          <w:kern w:val="2"/>
          <w:sz w:val="32"/>
          <w:szCs w:val="32"/>
          <w:u w:val="none"/>
          <w:lang w:val="en-US" w:eastAsia="zh-CN" w:bidi="ar-SA"/>
        </w:rPr>
        <w:t>；有的可能采用传统工艺，硫磺熏蒸漂白，或者直接使用亚硫酸盐浸泡保鲜；有的可能操作不规范，在使用添加剂时不计量或计量不准确。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CC34CA"/>
    <w:rsid w:val="02D4355F"/>
    <w:rsid w:val="039159AE"/>
    <w:rsid w:val="051C7148"/>
    <w:rsid w:val="05745268"/>
    <w:rsid w:val="06AB60C8"/>
    <w:rsid w:val="06D74455"/>
    <w:rsid w:val="06F6725A"/>
    <w:rsid w:val="08123F6F"/>
    <w:rsid w:val="08CF3AE4"/>
    <w:rsid w:val="0B30290D"/>
    <w:rsid w:val="0B45380D"/>
    <w:rsid w:val="0B810491"/>
    <w:rsid w:val="0BA40294"/>
    <w:rsid w:val="0BE7744C"/>
    <w:rsid w:val="0C8C4767"/>
    <w:rsid w:val="15584A2B"/>
    <w:rsid w:val="15EC594F"/>
    <w:rsid w:val="167B6CBC"/>
    <w:rsid w:val="168C6AE4"/>
    <w:rsid w:val="17677D3A"/>
    <w:rsid w:val="18484AED"/>
    <w:rsid w:val="1924456A"/>
    <w:rsid w:val="193E4B7D"/>
    <w:rsid w:val="193E766E"/>
    <w:rsid w:val="1A1F09D3"/>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60936EC"/>
    <w:rsid w:val="36225F84"/>
    <w:rsid w:val="37442689"/>
    <w:rsid w:val="37600B0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60D6897"/>
    <w:rsid w:val="48846AEF"/>
    <w:rsid w:val="48C2669E"/>
    <w:rsid w:val="48DE0700"/>
    <w:rsid w:val="49810C65"/>
    <w:rsid w:val="4A4F4589"/>
    <w:rsid w:val="4A6B2B32"/>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C454A26"/>
    <w:rsid w:val="5D355F3F"/>
    <w:rsid w:val="5D6D3F12"/>
    <w:rsid w:val="5D817942"/>
    <w:rsid w:val="5DC475F0"/>
    <w:rsid w:val="5E1E6906"/>
    <w:rsid w:val="5ED95286"/>
    <w:rsid w:val="5EE80608"/>
    <w:rsid w:val="5FC26101"/>
    <w:rsid w:val="609D387C"/>
    <w:rsid w:val="60A46527"/>
    <w:rsid w:val="62393C54"/>
    <w:rsid w:val="62894790"/>
    <w:rsid w:val="63217256"/>
    <w:rsid w:val="645D636E"/>
    <w:rsid w:val="648D0CE1"/>
    <w:rsid w:val="64975239"/>
    <w:rsid w:val="65BE4C71"/>
    <w:rsid w:val="68DA55BD"/>
    <w:rsid w:val="694B2A77"/>
    <w:rsid w:val="6B3B0481"/>
    <w:rsid w:val="6CE62940"/>
    <w:rsid w:val="6D700FAF"/>
    <w:rsid w:val="6DFF29E8"/>
    <w:rsid w:val="6F3B2CE3"/>
    <w:rsid w:val="71D631AF"/>
    <w:rsid w:val="722C2B09"/>
    <w:rsid w:val="72B73991"/>
    <w:rsid w:val="76090AFB"/>
    <w:rsid w:val="76CB3F79"/>
    <w:rsid w:val="76E60202"/>
    <w:rsid w:val="772D16F5"/>
    <w:rsid w:val="77704BDB"/>
    <w:rsid w:val="77745CF2"/>
    <w:rsid w:val="785415C7"/>
    <w:rsid w:val="7A935AC6"/>
    <w:rsid w:val="7CB400F8"/>
    <w:rsid w:val="7CCF0986"/>
    <w:rsid w:val="7FBBC13A"/>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27</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2024-04-29T18:35:30Z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