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640" w:lineRule="exact"/>
        <w:ind w:left="630" w:leftChars="0"/>
        <w:jc w:val="both"/>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一、</w:t>
      </w: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霉菌</w:t>
      </w:r>
    </w:p>
    <w:p>
      <w:pPr>
        <w:pStyle w:val="7"/>
        <w:keepNext w:val="0"/>
        <w:keepLines w:val="0"/>
        <w:pageBreakBefore w:val="0"/>
        <w:numPr>
          <w:ilvl w:val="0"/>
          <w:numId w:val="0"/>
        </w:numPr>
        <w:kinsoku/>
        <w:overflowPunct/>
        <w:topLinePunct w:val="0"/>
        <w:autoSpaceDE/>
        <w:bidi w:val="0"/>
        <w:adjustRightInd/>
        <w:snapToGrid/>
        <w:spacing w:after="0" w:line="64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numPr>
          <w:ilvl w:val="0"/>
          <w:numId w:val="0"/>
        </w:numPr>
        <w:kinsoku/>
        <w:overflowPunct/>
        <w:topLinePunct w:val="0"/>
        <w:autoSpaceDE/>
        <w:bidi w:val="0"/>
        <w:adjustRightInd/>
        <w:snapToGrid/>
        <w:spacing w:line="640" w:lineRule="exact"/>
        <w:ind w:left="630" w:leftChars="0"/>
        <w:jc w:val="both"/>
        <w:textAlignment w:val="auto"/>
        <w:rPr>
          <w:rFonts w:hint="eastAsia"/>
          <w:color w:val="000000" w:themeColor="text1"/>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二、菌落总数</w:t>
      </w:r>
    </w:p>
    <w:p>
      <w:pPr>
        <w:pStyle w:val="7"/>
        <w:keepNext w:val="0"/>
        <w:keepLines w:val="0"/>
        <w:pageBreakBefore w:val="0"/>
        <w:numPr>
          <w:ilvl w:val="0"/>
          <w:numId w:val="0"/>
        </w:numPr>
        <w:kinsoku/>
        <w:overflowPunct/>
        <w:topLinePunct w:val="0"/>
        <w:autoSpaceDE/>
        <w:bidi w:val="0"/>
        <w:adjustRightInd/>
        <w:snapToGrid/>
        <w:spacing w:after="0" w:line="640" w:lineRule="exact"/>
        <w:ind w:firstLine="640" w:firstLineChars="200"/>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菌落总数是指示性微生物指标，反映食品在生产经营过程中的卫生状况。《食品安全国家标准 糕点、面包》（GB 7099</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2015）中规定，</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糕点</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类</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同一批次产品5个样品的</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菌落总数检测结果均不得超过10</w:t>
      </w:r>
      <w:r>
        <w:rPr>
          <w:rFonts w:hint="eastAsia" w:ascii="仿宋_GB2312" w:hAnsi="仿宋_GB2312" w:eastAsia="仿宋_GB2312" w:cs="仿宋_GB2312"/>
          <w:color w:val="000000" w:themeColor="text1"/>
          <w:kern w:val="2"/>
          <w:sz w:val="32"/>
          <w:szCs w:val="32"/>
          <w:u w:val="none"/>
          <w:vertAlign w:val="superscript"/>
          <w:lang w:val="en-US" w:eastAsia="zh-CN" w:bidi="ar-SA"/>
          <w14:textFill>
            <w14:solidFill>
              <w14:schemeClr w14:val="tx1"/>
            </w14:solidFill>
          </w14:textFill>
        </w:rPr>
        <w:t>5</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CFU/g，且</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最多允许2个样品的</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检测结果超过10</w:t>
      </w:r>
      <w:r>
        <w:rPr>
          <w:rFonts w:hint="eastAsia" w:ascii="仿宋_GB2312" w:hAnsi="仿宋_GB2312" w:eastAsia="仿宋_GB2312" w:cs="仿宋_GB2312"/>
          <w:color w:val="000000" w:themeColor="text1"/>
          <w:kern w:val="2"/>
          <w:sz w:val="32"/>
          <w:szCs w:val="32"/>
          <w:u w:val="none"/>
          <w:vertAlign w:val="superscript"/>
          <w:lang w:val="en-US" w:eastAsia="zh-CN" w:bidi="ar-SA"/>
          <w14:textFill>
            <w14:solidFill>
              <w14:schemeClr w14:val="tx1"/>
            </w14:solidFill>
          </w14:textFill>
        </w:rPr>
        <w:t>4</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CFU/g。如果食品的菌落总数严重超标，将会破坏食品的营养成分，使食品失去食用价值</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还会加速食品腐败变质，可能危害人体健康。</w:t>
      </w:r>
    </w:p>
    <w:p>
      <w:pPr>
        <w:keepNext w:val="0"/>
        <w:keepLines w:val="0"/>
        <w:pageBreakBefore w:val="0"/>
        <w:kinsoku/>
        <w:wordWrap w:val="0"/>
        <w:overflowPunct/>
        <w:topLinePunct w:val="0"/>
        <w:autoSpaceDE/>
        <w:autoSpaceDN w:val="0"/>
        <w:bidi w:val="0"/>
        <w:adjustRightInd/>
        <w:snapToGrid/>
        <w:spacing w:line="640" w:lineRule="exact"/>
        <w:ind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三、山梨酸及其钾盐(以山梨酸计)</w:t>
      </w:r>
    </w:p>
    <w:p>
      <w:pPr>
        <w:pStyle w:val="7"/>
        <w:keepNext w:val="0"/>
        <w:keepLines w:val="0"/>
        <w:pageBreakBefore w:val="0"/>
        <w:numPr>
          <w:ilvl w:val="0"/>
          <w:numId w:val="0"/>
        </w:numPr>
        <w:kinsoku/>
        <w:overflowPunct/>
        <w:topLinePunct w:val="0"/>
        <w:autoSpaceDE/>
        <w:bidi w:val="0"/>
        <w:adjustRightInd/>
        <w:snapToGrid/>
        <w:spacing w:after="0" w:line="640" w:lineRule="exact"/>
        <w:ind w:firstLine="640" w:firstLineChars="200"/>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山梨酸及山梨酸钾是食品防腐剂，具有广泛的抑菌效果和防霉性能。山梨酸可以被人体的代谢系统吸收而迅速分解，只有摄入量在食品安全限量范围内并不影响人体健康。造成山梨酸及其钾盐（以山梨酸计）不合格的原因，可能是企业为延长产品保质期或者为弥补产品生产中卫生条件不佳超量使用而导致。</w:t>
      </w:r>
    </w:p>
    <w:p>
      <w:pPr>
        <w:keepNext w:val="0"/>
        <w:keepLines w:val="0"/>
        <w:pageBreakBefore w:val="0"/>
        <w:numPr>
          <w:ilvl w:val="0"/>
          <w:numId w:val="0"/>
        </w:numPr>
        <w:kinsoku/>
        <w:overflowPunct/>
        <w:topLinePunct w:val="0"/>
        <w:autoSpaceDE/>
        <w:bidi w:val="0"/>
        <w:adjustRightInd/>
        <w:snapToGrid/>
        <w:spacing w:line="640" w:lineRule="exact"/>
        <w:ind w:left="630" w:leftChars="0"/>
        <w:jc w:val="both"/>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四、柠</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檬黄</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柠檬黄又称酒石黄、酸性淡黄、肼黄，是常见的人工合成着色剂，主要是使食品着色，是赋予和改善食品色泽的物质，没有营养价值。《食品安全国家标准 食品添加剂使用标准》（GB 2760-2014）中规定除糕点上彩装和焙烤食品馅料及表面用挂浆外，柠檬黄在糕点中不得使用。糕点中柠檬黄不合格可能是企业在生产加工过程中超范围使用食品添加剂。</w:t>
      </w:r>
    </w:p>
    <w:p>
      <w:pPr>
        <w:keepNext w:val="0"/>
        <w:keepLines w:val="0"/>
        <w:pageBreakBefore w:val="0"/>
        <w:numPr>
          <w:ilvl w:val="0"/>
          <w:numId w:val="0"/>
        </w:numPr>
        <w:kinsoku/>
        <w:overflowPunct/>
        <w:topLinePunct w:val="0"/>
        <w:autoSpaceDE/>
        <w:bidi w:val="0"/>
        <w:adjustRightInd/>
        <w:snapToGrid/>
        <w:spacing w:line="640" w:lineRule="exact"/>
        <w:ind w:left="630" w:leftChars="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日落黄</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日落黄又称晚霞黄、夕阳黄、橘黄，是常见的人工合成着色剂，主要是使食品着色，是赋予和改善食品色泽的物质，没有营养价值。《食品安全国家标准 食品添加剂使用标准》（GB 2760-2014）中规定除糕点上彩装和焙烤食品馅料及表面用挂浆外，日落黄在糕点中不得使用。糕点中日落黄不合格可能是企业在生产加工过程中超范围使用食品添加剂。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六、恩诺沙星</w:t>
      </w:r>
    </w:p>
    <w:p>
      <w:pPr>
        <w:keepNext w:val="0"/>
        <w:keepLines w:val="0"/>
        <w:pageBreakBefore w:val="0"/>
        <w:numPr>
          <w:ilvl w:val="0"/>
          <w:numId w:val="0"/>
        </w:numPr>
        <w:kinsoku/>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p>
      <w:pPr>
        <w:keepNext w:val="0"/>
        <w:keepLines w:val="0"/>
        <w:pageBreakBefore w:val="0"/>
        <w:kinsoku/>
        <w:overflowPunct/>
        <w:topLinePunct w:val="0"/>
        <w:autoSpaceDE/>
        <w:autoSpaceDN/>
        <w:bidi w:val="0"/>
        <w:adjustRightInd/>
        <w:snapToGrid/>
        <w:spacing w:line="640" w:lineRule="exact"/>
        <w:ind w:firstLine="640" w:firstLineChars="200"/>
        <w:jc w:val="both"/>
        <w:textAlignment w:val="auto"/>
        <w:rPr>
          <w:rFonts w:hint="default" w:ascii="黑体" w:hAnsi="黑体" w:eastAsia="黑体" w:cs="Times New Roman"/>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u w:val="none"/>
          <w:lang w:val="en-US" w:eastAsia="zh-CN" w:bidi="ar-SA"/>
          <w14:textFill>
            <w14:solidFill>
              <w14:schemeClr w14:val="tx1"/>
            </w14:solidFill>
          </w14:textFill>
        </w:rPr>
        <w:t>七、</w:t>
      </w:r>
      <w:r>
        <w:rPr>
          <w:rFonts w:hint="default" w:ascii="黑体" w:hAnsi="黑体" w:eastAsia="黑体" w:cs="Times New Roman"/>
          <w:color w:val="000000" w:themeColor="text1"/>
          <w:kern w:val="2"/>
          <w:sz w:val="32"/>
          <w:szCs w:val="32"/>
          <w:u w:val="none"/>
          <w:lang w:val="en-US" w:eastAsia="zh-CN" w:bidi="ar-SA"/>
          <w14:textFill>
            <w14:solidFill>
              <w14:schemeClr w14:val="tx1"/>
            </w14:solidFill>
          </w14:textFill>
        </w:rPr>
        <w:t>噻虫胺</w:t>
      </w:r>
    </w:p>
    <w:p>
      <w:pPr>
        <w:keepNext w:val="0"/>
        <w:keepLines w:val="0"/>
        <w:pageBreakBefore w:val="0"/>
        <w:numPr>
          <w:ilvl w:val="0"/>
          <w:numId w:val="0"/>
        </w:numPr>
        <w:kinsoku/>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640" w:lineRule="exact"/>
        <w:ind w:firstLine="640" w:firstLineChars="200"/>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八、</w:t>
      </w:r>
      <w:r>
        <w:rPr>
          <w:rFonts w:hint="eastAsia" w:ascii="黑体" w:hAnsi="黑体" w:eastAsia="黑体" w:cs="仿宋_GB2312"/>
          <w:color w:val="000000" w:themeColor="text1"/>
          <w:kern w:val="2"/>
          <w:sz w:val="32"/>
          <w:szCs w:val="32"/>
          <w:u w:val="none"/>
          <w14:textFill>
            <w14:solidFill>
              <w14:schemeClr w14:val="tx1"/>
            </w14:solidFill>
          </w14:textFill>
        </w:rPr>
        <w:t>吡虫啉</w:t>
      </w:r>
    </w:p>
    <w:p>
      <w:pPr>
        <w:keepNext w:val="0"/>
        <w:keepLines w:val="0"/>
        <w:pageBreakBefore w:val="0"/>
        <w:numPr>
          <w:ilvl w:val="0"/>
          <w:numId w:val="0"/>
        </w:numPr>
        <w:kinsoku/>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吡虫啉是烟碱类超高效杀虫剂，具有广谱、高效、低毒、低残留，害虫不易产生抗性，并有触杀、胃毒和内吸等多重作用。产品药效和温度呈正相关，温度高，杀虫效果好，主要用于防治刺吸式口器害虫。呲虫啉超标的原因可能是种植环节没有按照农药使用规范用药。</w:t>
      </w:r>
    </w:p>
    <w:p>
      <w:pPr>
        <w:pStyle w:val="6"/>
        <w:keepNext w:val="0"/>
        <w:keepLines w:val="0"/>
        <w:pageBreakBefore w:val="0"/>
        <w:widowControl/>
        <w:kinsoku/>
        <w:wordWrap w:val="0"/>
        <w:overflowPunct/>
        <w:topLinePunct w:val="0"/>
        <w:autoSpaceDE/>
        <w:bidi w:val="0"/>
        <w:adjustRightInd/>
        <w:snapToGrid/>
        <w:spacing w:before="0" w:beforeLines="0" w:beforeAutospacing="0" w:after="0" w:afterLines="0" w:afterAutospacing="0" w:line="640" w:lineRule="exact"/>
        <w:ind w:firstLine="640" w:firstLineChars="200"/>
        <w:textAlignment w:val="auto"/>
        <w:rPr>
          <w:rFonts w:hint="eastAsia" w:ascii="黑体" w:hAnsi="黑体" w:eastAsia="黑体"/>
          <w:color w:val="000000" w:themeColor="text1"/>
          <w:kern w:val="2"/>
          <w:sz w:val="32"/>
          <w:szCs w:val="32"/>
          <w:u w:val="none"/>
          <w:lang w:eastAsia="zh-CN"/>
          <w14:textFill>
            <w14:solidFill>
              <w14:schemeClr w14:val="tx1"/>
            </w14:solidFill>
          </w14:textFill>
        </w:rPr>
      </w:pPr>
      <w:r>
        <w:rPr>
          <w:rFonts w:hint="eastAsia" w:ascii="黑体" w:hAnsi="黑体" w:eastAsia="黑体"/>
          <w:color w:val="000000" w:themeColor="text1"/>
          <w:kern w:val="2"/>
          <w:sz w:val="32"/>
          <w:szCs w:val="32"/>
          <w:u w:val="none"/>
          <w:lang w:val="en-US" w:eastAsia="zh-CN"/>
          <w14:textFill>
            <w14:solidFill>
              <w14:schemeClr w14:val="tx1"/>
            </w14:solidFill>
          </w14:textFill>
        </w:rPr>
        <w:t>九、</w:t>
      </w:r>
      <w:r>
        <w:rPr>
          <w:rFonts w:hint="eastAsia" w:ascii="黑体" w:hAnsi="黑体" w:eastAsia="黑体"/>
          <w:color w:val="000000" w:themeColor="text1"/>
          <w:kern w:val="2"/>
          <w:sz w:val="32"/>
          <w:szCs w:val="32"/>
          <w:u w:val="none"/>
          <w:lang w:eastAsia="zh-CN"/>
          <w14:textFill>
            <w14:solidFill>
              <w14:schemeClr w14:val="tx1"/>
            </w14:solidFill>
          </w14:textFill>
        </w:rPr>
        <w:t>啶虫脒</w:t>
      </w:r>
    </w:p>
    <w:p>
      <w:pPr>
        <w:keepNext w:val="0"/>
        <w:keepLines w:val="0"/>
        <w:pageBreakBefore w:val="0"/>
        <w:numPr>
          <w:ilvl w:val="0"/>
          <w:numId w:val="0"/>
        </w:numPr>
        <w:kinsoku/>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啶虫脒是一种具有触杀、渗透和传导作用的新型广谱低毒杀虫剂，作用于昆虫神经系统突触部位的烟碱乙酰胆碱受体，干扰昆虫神经系统的刺激传导，引起神经系统通路阻塞，造成神经递质乙酰胆碱在突触部位的积累，从而导致昆虫麻痹，最终死亡。造成啶虫脒不合格的主要原因可能是一些农产品种植者为了增强防治效果，从而使用过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64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十、噻虫嗪</w:t>
      </w:r>
    </w:p>
    <w:p>
      <w:pPr>
        <w:keepNext w:val="0"/>
        <w:keepLines w:val="0"/>
        <w:pageBreakBefore w:val="0"/>
        <w:numPr>
          <w:ilvl w:val="0"/>
          <w:numId w:val="0"/>
        </w:numPr>
        <w:kinsoku/>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噻虫嗪是烟碱类杀虫剂，具有触杀、胃毒和内吸作用的杀虫剂。少量的残留一般不会导致噻虫嗪的急性中毒，但长期食用噻虫嗪超标的食品，对人体健康也有一定影响。</w:t>
      </w: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食品安全国家标准 食品中农药最大残留限量》</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w:t>
      </w: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GB 2763-2021</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w:t>
      </w:r>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规定大葱中噻虫嗪最大残留限量为0.3mg/kg</w:t>
      </w: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。噻虫嗪残留量超标的原因，可能是为快速控制虫害，加大用药量或未遵守采摘间隔期规定，致使上市销售的产品中残留量超标。</w:t>
      </w:r>
    </w:p>
    <w:p>
      <w:pPr>
        <w:keepNext w:val="0"/>
        <w:keepLines w:val="0"/>
        <w:pageBreakBefore w:val="0"/>
        <w:kinsoku/>
        <w:overflowPunct/>
        <w:topLinePunct w:val="0"/>
        <w:autoSpaceDE/>
        <w:bidi w:val="0"/>
        <w:adjustRightInd/>
        <w:snapToGrid/>
        <w:spacing w:line="640" w:lineRule="exact"/>
        <w:ind w:firstLine="640" w:firstLineChars="200"/>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十一、</w:t>
      </w:r>
      <w:r>
        <w:rPr>
          <w:rFonts w:hint="default" w:ascii="黑体" w:hAnsi="黑体" w:eastAsia="黑体" w:cs="仿宋_GB2312"/>
          <w:color w:val="000000" w:themeColor="text1"/>
          <w:kern w:val="2"/>
          <w:sz w:val="32"/>
          <w:szCs w:val="32"/>
          <w:u w:val="none"/>
          <w:lang w:val="en-US" w:eastAsia="zh-CN"/>
          <w14:textFill>
            <w14:solidFill>
              <w14:schemeClr w14:val="tx1"/>
            </w14:solidFill>
          </w14:textFill>
        </w:rPr>
        <w:t>克百威</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bookmarkStart w:id="0" w:name="_GoBack"/>
      <w:bookmarkEnd w:id="0"/>
      <w:r>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t>克百威是一种广谱、高效、低残留、高毒性的氨基甲酸酯类杀虫、杀螨、杀线虫剂，具有内吸、触杀、胃毒作用，并有一定的杀卵作用。《食品安全国家标准食品中农药最大残留限量》GB 2763-2021中规定，克百威在鳞茎类蔬菜中的最大残留限量值为0.02mg/kg。韭菜中克百威超标的原因，可能是为快速控制虫害而违规使用。</w:t>
      </w:r>
    </w:p>
    <w:p>
      <w:pPr>
        <w:keepNext w:val="0"/>
        <w:keepLines w:val="0"/>
        <w:pageBreakBefore w:val="0"/>
        <w:kinsoku/>
        <w:overflowPunct/>
        <w:topLinePunct w:val="0"/>
        <w:autoSpaceDE/>
        <w:autoSpaceDN/>
        <w:bidi w:val="0"/>
        <w:adjustRightInd/>
        <w:snapToGrid/>
        <w:spacing w:line="640" w:lineRule="exact"/>
        <w:ind w:firstLine="592" w:firstLineChars="200"/>
        <w:jc w:val="both"/>
        <w:textAlignment w:val="auto"/>
        <w:rPr>
          <w:rFonts w:ascii="黑体" w:hAnsi="黑体" w:eastAsia="黑体"/>
          <w:color w:val="000000" w:themeColor="text1"/>
          <w:spacing w:val="-12"/>
          <w:sz w:val="32"/>
          <w:szCs w:val="32"/>
          <w14:textFill>
            <w14:solidFill>
              <w14:schemeClr w14:val="tx1"/>
            </w14:solidFill>
          </w14:textFill>
        </w:rPr>
      </w:pPr>
      <w:r>
        <w:rPr>
          <w:rFonts w:hint="eastAsia" w:ascii="黑体" w:hAnsi="黑体" w:eastAsia="黑体"/>
          <w:color w:val="000000" w:themeColor="text1"/>
          <w:spacing w:val="-12"/>
          <w:sz w:val="32"/>
          <w:szCs w:val="32"/>
          <w:lang w:val="en-US" w:eastAsia="zh-CN"/>
          <w14:textFill>
            <w14:solidFill>
              <w14:schemeClr w14:val="tx1"/>
            </w14:solidFill>
          </w14:textFill>
        </w:rPr>
        <w:t>十二、</w:t>
      </w:r>
      <w:r>
        <w:rPr>
          <w:rFonts w:hint="eastAsia" w:ascii="黑体" w:hAnsi="黑体" w:eastAsia="黑体"/>
          <w:color w:val="000000" w:themeColor="text1"/>
          <w:spacing w:val="-12"/>
          <w:sz w:val="32"/>
          <w:szCs w:val="32"/>
          <w14:textFill>
            <w14:solidFill>
              <w14:schemeClr w14:val="tx1"/>
            </w14:solidFill>
          </w14:textFill>
        </w:rPr>
        <w:t>铅（以Pb计）</w:t>
      </w:r>
    </w:p>
    <w:p>
      <w:pPr>
        <w:keepNext w:val="0"/>
        <w:keepLines w:val="0"/>
        <w:pageBreakBefore w:val="0"/>
        <w:numPr>
          <w:ilvl w:val="0"/>
          <w:numId w:val="0"/>
        </w:numPr>
        <w:kinsoku/>
        <w:overflowPunct/>
        <w:topLinePunct w:val="0"/>
        <w:autoSpaceDE/>
        <w:bidi w:val="0"/>
        <w:adjustRightInd/>
        <w:snapToGrid/>
        <w:spacing w:line="640" w:lineRule="exact"/>
        <w:ind w:firstLine="640" w:firstLineChars="200"/>
        <w:jc w:val="both"/>
        <w:textAlignment w:val="auto"/>
        <w:rPr>
          <w:rFonts w:hint="default" w:ascii="仿宋" w:hAnsi="仿宋" w:eastAsia="仿宋" w:cs="仿宋"/>
          <w:color w:val="000000" w:themeColor="text1"/>
          <w:kern w:val="0"/>
          <w:sz w:val="32"/>
          <w:szCs w:val="32"/>
          <w:u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u w:val="none"/>
          <w:lang w:val="en-US" w:eastAsia="zh-CN" w:bidi="ar-SA"/>
          <w14:textFill>
            <w14:solidFill>
              <w14:schemeClr w14:val="tx1"/>
            </w14:solidFill>
          </w14:textFill>
        </w:rPr>
        <w:t>铅是一种能够在生物体内蓄积且排除缓慢的重金属污染物。铅超标的原因，可能是企业在生产时未对原料进行严格验收或为降低产品成本而采用劣质原料，导致生产原料或辅料中的铅带入；也可能是在食品生产加工过程中，加工设备、容器、包装材料中的铅迁移带入食品。</w:t>
      </w:r>
    </w:p>
    <w:sectPr>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CC34CA"/>
    <w:rsid w:val="02D4355F"/>
    <w:rsid w:val="039159AE"/>
    <w:rsid w:val="051C7148"/>
    <w:rsid w:val="05745268"/>
    <w:rsid w:val="06AB60C8"/>
    <w:rsid w:val="06D74455"/>
    <w:rsid w:val="06F6725A"/>
    <w:rsid w:val="08123F6F"/>
    <w:rsid w:val="08CF3AE4"/>
    <w:rsid w:val="0B45380D"/>
    <w:rsid w:val="0B810491"/>
    <w:rsid w:val="0BA40294"/>
    <w:rsid w:val="0BE7744C"/>
    <w:rsid w:val="0C8C4767"/>
    <w:rsid w:val="10457B90"/>
    <w:rsid w:val="12454475"/>
    <w:rsid w:val="15584A2B"/>
    <w:rsid w:val="15BC6831"/>
    <w:rsid w:val="15EC594F"/>
    <w:rsid w:val="167B6CBC"/>
    <w:rsid w:val="168C6AE4"/>
    <w:rsid w:val="17677D3A"/>
    <w:rsid w:val="18484AED"/>
    <w:rsid w:val="1924456A"/>
    <w:rsid w:val="193E4B7D"/>
    <w:rsid w:val="193E766E"/>
    <w:rsid w:val="1A1F09D3"/>
    <w:rsid w:val="1B793D04"/>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5721861"/>
    <w:rsid w:val="360936EC"/>
    <w:rsid w:val="36225F84"/>
    <w:rsid w:val="37442689"/>
    <w:rsid w:val="37600B06"/>
    <w:rsid w:val="387631F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8DE0700"/>
    <w:rsid w:val="491E6701"/>
    <w:rsid w:val="49810C65"/>
    <w:rsid w:val="4A4F4589"/>
    <w:rsid w:val="4B7D614A"/>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DCA2622"/>
    <w:rsid w:val="5E1E6906"/>
    <w:rsid w:val="5ED95286"/>
    <w:rsid w:val="5EE80608"/>
    <w:rsid w:val="5FC26101"/>
    <w:rsid w:val="60A46527"/>
    <w:rsid w:val="616F0994"/>
    <w:rsid w:val="62393C54"/>
    <w:rsid w:val="62894790"/>
    <w:rsid w:val="63217256"/>
    <w:rsid w:val="645D636E"/>
    <w:rsid w:val="648D0CE1"/>
    <w:rsid w:val="64975239"/>
    <w:rsid w:val="65BE4C71"/>
    <w:rsid w:val="66202520"/>
    <w:rsid w:val="68DA55BD"/>
    <w:rsid w:val="694B2A77"/>
    <w:rsid w:val="6B3B0481"/>
    <w:rsid w:val="6CE62940"/>
    <w:rsid w:val="6D700FAF"/>
    <w:rsid w:val="6DFF29E8"/>
    <w:rsid w:val="6F3B2CE3"/>
    <w:rsid w:val="71D631AF"/>
    <w:rsid w:val="722C2B09"/>
    <w:rsid w:val="72B73991"/>
    <w:rsid w:val="76090AFB"/>
    <w:rsid w:val="76CB3F79"/>
    <w:rsid w:val="76E60202"/>
    <w:rsid w:val="772D16F5"/>
    <w:rsid w:val="77704BDB"/>
    <w:rsid w:val="77745CF2"/>
    <w:rsid w:val="785415C7"/>
    <w:rsid w:val="7A935AC6"/>
    <w:rsid w:val="7CB400F8"/>
    <w:rsid w:val="7CCF0986"/>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paragraph" w:styleId="7">
    <w:name w:val="Body Text First Indent 2"/>
    <w:basedOn w:val="3"/>
    <w:unhideWhenUsed/>
    <w:qFormat/>
    <w:uiPriority w:val="99"/>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2</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2024-05-16T12:40:23Z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