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both"/>
        <w:textAlignment w:val="auto"/>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宋体" w:hAnsi="宋体"/>
          <w:color w:val="000000" w:themeColor="text1"/>
          <w:sz w:val="32"/>
          <w:szCs w:val="32"/>
          <w:highlight w:val="none"/>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eastAsia="方正小标宋简体"/>
          <w:color w:val="000000" w:themeColor="text1"/>
          <w:spacing w:val="-12"/>
          <w:sz w:val="44"/>
          <w:szCs w:val="44"/>
          <w:highlight w:val="none"/>
          <w:u w:val="none"/>
          <w14:textFill>
            <w14:solidFill>
              <w14:schemeClr w14:val="tx1"/>
            </w14:solidFill>
          </w14:textFill>
        </w:rPr>
      </w:pPr>
      <w:r>
        <w:rPr>
          <w:rFonts w:hint="eastAsia" w:ascii="方正小标宋简体" w:eastAsia="方正小标宋简体"/>
          <w:color w:val="000000" w:themeColor="text1"/>
          <w:spacing w:val="-12"/>
          <w:sz w:val="44"/>
          <w:szCs w:val="44"/>
          <w:highlight w:val="none"/>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方正小标宋简体" w:eastAsia="方正小标宋简体"/>
          <w:color w:val="000000" w:themeColor="text1"/>
          <w:spacing w:val="-12"/>
          <w:sz w:val="44"/>
          <w:szCs w:val="44"/>
          <w:highlight w:val="none"/>
          <w:u w:val="none"/>
          <w14:textFill>
            <w14:solidFill>
              <w14:schemeClr w14:val="tx1"/>
            </w14:solidFill>
          </w14:textFill>
        </w:rPr>
      </w:pPr>
    </w:p>
    <w:p>
      <w:pPr>
        <w:keepNext w:val="0"/>
        <w:keepLines w:val="0"/>
        <w:pageBreakBefore w:val="0"/>
        <w:numPr>
          <w:ilvl w:val="0"/>
          <w:numId w:val="0"/>
        </w:numPr>
        <w:kinsoku/>
        <w:overflowPunct/>
        <w:topLinePunct w:val="0"/>
        <w:autoSpaceDE/>
        <w:bidi w:val="0"/>
        <w:adjustRightInd/>
        <w:snapToGrid/>
        <w:spacing w:line="640" w:lineRule="exact"/>
        <w:ind w:left="630" w:leftChars="0"/>
        <w:jc w:val="both"/>
        <w:textAlignment w:val="auto"/>
        <w:rPr>
          <w:rFonts w:hint="default" w:ascii="黑体" w:hAnsi="黑体" w:eastAsia="黑体" w:cs="仿宋_GB2312"/>
          <w:color w:val="000000" w:themeColor="text1"/>
          <w:kern w:val="2"/>
          <w:sz w:val="32"/>
          <w:szCs w:val="32"/>
          <w:highlight w:val="none"/>
          <w:u w:val="none"/>
          <w:lang w:val="en-US" w:eastAsia="zh-CN"/>
          <w14:textFill>
            <w14:solidFill>
              <w14:schemeClr w14:val="tx1"/>
            </w14:solidFill>
          </w14:textFill>
        </w:rPr>
      </w:pPr>
      <w:r>
        <w:rPr>
          <w:rFonts w:hint="eastAsia" w:ascii="黑体" w:hAnsi="黑体" w:eastAsia="黑体" w:cs="Times New Roman"/>
          <w:color w:val="000000" w:themeColor="text1"/>
          <w:kern w:val="2"/>
          <w:sz w:val="32"/>
          <w:szCs w:val="32"/>
          <w:highlight w:val="none"/>
          <w:u w:val="none"/>
          <w:lang w:val="en-US" w:eastAsia="zh-CN" w:bidi="ar-SA"/>
          <w14:textFill>
            <w14:solidFill>
              <w14:schemeClr w14:val="tx1"/>
            </w14:solidFill>
          </w14:textFill>
        </w:rPr>
        <w:t>一、</w:t>
      </w:r>
      <w:r>
        <w:rPr>
          <w:rFonts w:hint="eastAsia" w:ascii="黑体" w:hAnsi="黑体" w:eastAsia="黑体" w:cs="仿宋_GB2312"/>
          <w:color w:val="000000" w:themeColor="text1"/>
          <w:kern w:val="2"/>
          <w:sz w:val="32"/>
          <w:szCs w:val="32"/>
          <w:highlight w:val="none"/>
          <w:u w:val="none"/>
          <w:lang w:val="en-US" w:eastAsia="zh-CN"/>
          <w14:textFill>
            <w14:solidFill>
              <w14:schemeClr w14:val="tx1"/>
            </w14:solidFill>
          </w14:textFill>
        </w:rPr>
        <w:t>柠</w:t>
      </w:r>
      <w:r>
        <w:rPr>
          <w:rFonts w:hint="default" w:ascii="黑体" w:hAnsi="黑体" w:eastAsia="黑体" w:cs="仿宋_GB2312"/>
          <w:color w:val="000000" w:themeColor="text1"/>
          <w:kern w:val="2"/>
          <w:sz w:val="32"/>
          <w:szCs w:val="32"/>
          <w:highlight w:val="none"/>
          <w:u w:val="none"/>
          <w:lang w:val="en-US" w:eastAsia="zh-CN"/>
          <w14:textFill>
            <w14:solidFill>
              <w14:schemeClr w14:val="tx1"/>
            </w14:solidFill>
          </w14:textFill>
        </w:rPr>
        <w:t>檬黄</w:t>
      </w:r>
    </w:p>
    <w:p>
      <w:pPr>
        <w:keepNext w:val="0"/>
        <w:keepLines w:val="0"/>
        <w:pageBreakBefore w:val="0"/>
        <w:numPr>
          <w:ilvl w:val="0"/>
          <w:numId w:val="0"/>
        </w:numPr>
        <w:kinsoku/>
        <w:overflowPunct/>
        <w:topLinePunct w:val="0"/>
        <w:autoSpaceDE/>
        <w:bidi w:val="0"/>
        <w:adjustRightInd/>
        <w:snapToGrid/>
        <w:spacing w:line="640" w:lineRule="exact"/>
        <w:ind w:firstLine="640" w:firstLineChars="200"/>
        <w:jc w:val="both"/>
        <w:textAlignment w:val="auto"/>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default" w:ascii="仿宋" w:hAnsi="仿宋" w:eastAsia="仿宋" w:cs="仿宋"/>
          <w:color w:val="000000" w:themeColor="text1"/>
          <w:kern w:val="0"/>
          <w:sz w:val="32"/>
          <w:szCs w:val="32"/>
          <w:highlight w:val="none"/>
          <w:u w:val="none"/>
          <w:lang w:val="en-US" w:eastAsia="zh-CN" w:bidi="ar-SA"/>
          <w14:textFill>
            <w14:solidFill>
              <w14:schemeClr w14:val="tx1"/>
            </w14:solidFill>
          </w14:textFill>
        </w:rPr>
        <w:t>柠檬黄又称酒石黄、酸性淡黄、肼黄，是常见的人工合成着色剂，主要是使食品着色，是赋予和改善食品色泽的物质，没有营养价值。《食品安全国家标准 食品添加剂使用标准》（GB 2760-2014）中规定除糕点上彩装和焙烤食品馅料及表面用挂浆外，柠檬黄在糕点中不得使用。糕点中柠檬黄不合格可能是企业在生产加工过程中超范围使用食品添加剂。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仿宋_GB2312"/>
          <w:color w:val="000000" w:themeColor="text1"/>
          <w:kern w:val="2"/>
          <w:sz w:val="32"/>
          <w:szCs w:val="32"/>
          <w:highlight w:val="none"/>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highlight w:val="none"/>
          <w:u w:val="none"/>
          <w:lang w:val="en-US" w:eastAsia="zh-CN" w:bidi="ar-SA"/>
          <w14:textFill>
            <w14:solidFill>
              <w14:schemeClr w14:val="tx1"/>
            </w14:solidFill>
          </w14:textFill>
        </w:rPr>
        <w:t>二、</w:t>
      </w:r>
      <w:r>
        <w:rPr>
          <w:rFonts w:hint="eastAsia" w:ascii="黑体" w:hAnsi="黑体" w:eastAsia="黑体" w:cs="仿宋_GB2312"/>
          <w:color w:val="000000" w:themeColor="text1"/>
          <w:kern w:val="2"/>
          <w:sz w:val="32"/>
          <w:szCs w:val="32"/>
          <w:highlight w:val="none"/>
          <w:u w:val="none"/>
          <w:lang w:val="en-US" w:eastAsia="zh-CN"/>
          <w14:textFill>
            <w14:solidFill>
              <w14:schemeClr w14:val="tx1"/>
            </w14:solidFill>
          </w14:textFill>
        </w:rPr>
        <w:t>苯甲酸及其钠盐</w:t>
      </w:r>
    </w:p>
    <w:p>
      <w:pPr>
        <w:keepNext w:val="0"/>
        <w:keepLines w:val="0"/>
        <w:pageBreakBefore w:val="0"/>
        <w:numPr>
          <w:ilvl w:val="0"/>
          <w:numId w:val="0"/>
        </w:numPr>
        <w:kinsoku/>
        <w:overflowPunct/>
        <w:topLinePunct w:val="0"/>
        <w:autoSpaceDE/>
        <w:bidi w:val="0"/>
        <w:adjustRightInd/>
        <w:snapToGrid/>
        <w:spacing w:line="640" w:lineRule="exact"/>
        <w:ind w:firstLine="640" w:firstLineChars="200"/>
        <w:jc w:val="both"/>
        <w:textAlignment w:val="auto"/>
        <w:rPr>
          <w:rFonts w:hint="default"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t>苯甲酸及其钠盐是食品工业中常用的一种防腐剂，对霉菌、酵母和细菌有较好的抑制作用。</w:t>
      </w:r>
      <w:r>
        <w:rPr>
          <w:rFonts w:hint="default" w:ascii="仿宋" w:hAnsi="仿宋" w:eastAsia="仿宋" w:cs="仿宋"/>
          <w:color w:val="000000" w:themeColor="text1"/>
          <w:kern w:val="0"/>
          <w:sz w:val="32"/>
          <w:szCs w:val="32"/>
          <w:highlight w:val="none"/>
          <w:u w:val="none"/>
          <w:lang w:val="en-US" w:eastAsia="zh-CN" w:bidi="ar-SA"/>
          <w14:textFill>
            <w14:solidFill>
              <w14:schemeClr w14:val="tx1"/>
            </w14:solidFill>
          </w14:textFill>
        </w:rPr>
        <w:t>《食品安全国家标准 食品添加剂使用标准》（GB 2760-2014）中规定</w:t>
      </w:r>
      <w:r>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t>，苯甲酸及其钠盐</w:t>
      </w:r>
      <w:r>
        <w:rPr>
          <w:rFonts w:hint="default" w:ascii="仿宋" w:hAnsi="仿宋" w:eastAsia="仿宋" w:cs="仿宋"/>
          <w:color w:val="000000" w:themeColor="text1"/>
          <w:kern w:val="0"/>
          <w:sz w:val="32"/>
          <w:szCs w:val="32"/>
          <w:highlight w:val="none"/>
          <w:u w:val="none"/>
          <w:lang w:val="en-US" w:eastAsia="zh-CN" w:bidi="ar-SA"/>
          <w14:textFill>
            <w14:solidFill>
              <w14:schemeClr w14:val="tx1"/>
            </w14:solidFill>
          </w14:textFill>
        </w:rPr>
        <w:t>在糕点中不得使用</w:t>
      </w:r>
      <w:r>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t>。食品中检出苯甲酸及其钠盐的原因，可能是生产企业为延长产品保质期，或者弥补产品生产过程中卫生条件不佳而超范围使用。</w:t>
      </w:r>
    </w:p>
    <w:p>
      <w:pPr>
        <w:keepNext w:val="0"/>
        <w:keepLines w:val="0"/>
        <w:pageBreakBefore w:val="0"/>
        <w:kinsoku/>
        <w:wordWrap w:val="0"/>
        <w:overflowPunct/>
        <w:topLinePunct w:val="0"/>
        <w:autoSpaceDE/>
        <w:autoSpaceDN w:val="0"/>
        <w:bidi w:val="0"/>
        <w:adjustRightInd/>
        <w:snapToGrid/>
        <w:spacing w:line="560" w:lineRule="exact"/>
        <w:ind w:firstLine="640" w:firstLineChars="200"/>
        <w:jc w:val="left"/>
        <w:textAlignment w:val="auto"/>
        <w:rPr>
          <w:rFonts w:hint="eastAsia" w:ascii="黑体" w:hAnsi="黑体" w:eastAsia="黑体" w:cs="仿宋_GB2312"/>
          <w:color w:val="000000" w:themeColor="text1"/>
          <w:kern w:val="2"/>
          <w:sz w:val="32"/>
          <w:szCs w:val="32"/>
          <w:highlight w:val="none"/>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highlight w:val="none"/>
          <w:u w:val="none"/>
          <w:lang w:val="en-US" w:eastAsia="zh-CN"/>
          <w14:textFill>
            <w14:solidFill>
              <w14:schemeClr w14:val="tx1"/>
            </w14:solidFill>
          </w14:textFill>
        </w:rPr>
        <w:t>三</w:t>
      </w:r>
      <w:bookmarkStart w:id="0" w:name="_GoBack"/>
      <w:bookmarkEnd w:id="0"/>
      <w:r>
        <w:rPr>
          <w:rFonts w:hint="eastAsia" w:ascii="黑体" w:hAnsi="黑体" w:eastAsia="黑体" w:cs="仿宋_GB2312"/>
          <w:color w:val="000000" w:themeColor="text1"/>
          <w:kern w:val="2"/>
          <w:sz w:val="32"/>
          <w:szCs w:val="32"/>
          <w:highlight w:val="none"/>
          <w:u w:val="none"/>
          <w:lang w:val="en-US" w:eastAsia="zh-CN"/>
          <w14:textFill>
            <w14:solidFill>
              <w14:schemeClr w14:val="tx1"/>
            </w14:solidFill>
          </w14:textFill>
        </w:rPr>
        <w:t>、山梨酸及其钾盐(以山梨酸计)</w:t>
      </w:r>
    </w:p>
    <w:p>
      <w:pPr>
        <w:keepNext w:val="0"/>
        <w:keepLines w:val="0"/>
        <w:pageBreakBefore w:val="0"/>
        <w:numPr>
          <w:ilvl w:val="0"/>
          <w:numId w:val="0"/>
        </w:numPr>
        <w:kinsoku/>
        <w:overflowPunct/>
        <w:topLinePunct w:val="0"/>
        <w:autoSpaceDE/>
        <w:bidi w:val="0"/>
        <w:adjustRightInd/>
        <w:snapToGrid/>
        <w:spacing w:line="640" w:lineRule="exact"/>
        <w:ind w:firstLine="640" w:firstLineChars="200"/>
        <w:jc w:val="both"/>
        <w:textAlignment w:val="auto"/>
        <w:rPr>
          <w:rFonts w:hint="default"/>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t>山梨酸及山梨酸钾是食品防腐剂，具有广泛的抑菌效果和防霉性能。山梨酸可以被人体的代谢系统吸收而迅速分解为二氧化碳和水，在体内无残留。</w:t>
      </w:r>
      <w:r>
        <w:rPr>
          <w:rFonts w:hint="default" w:ascii="仿宋" w:hAnsi="仿宋" w:eastAsia="仿宋" w:cs="仿宋"/>
          <w:color w:val="000000" w:themeColor="text1"/>
          <w:kern w:val="0"/>
          <w:sz w:val="32"/>
          <w:szCs w:val="32"/>
          <w:highlight w:val="none"/>
          <w:u w:val="none"/>
          <w:lang w:val="en-US" w:eastAsia="zh-CN" w:bidi="ar-SA"/>
          <w14:textFill>
            <w14:solidFill>
              <w14:schemeClr w14:val="tx1"/>
            </w14:solidFill>
          </w14:textFill>
        </w:rPr>
        <w:t>《食品安全国家标准 食品添加剂使用标准》（GB 2760-2014）中规定</w:t>
      </w:r>
      <w:r>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t>，山梨酸及其钾盐</w:t>
      </w:r>
      <w:r>
        <w:rPr>
          <w:rFonts w:hint="default" w:ascii="仿宋" w:hAnsi="仿宋" w:eastAsia="仿宋" w:cs="仿宋"/>
          <w:color w:val="000000" w:themeColor="text1"/>
          <w:kern w:val="0"/>
          <w:sz w:val="32"/>
          <w:szCs w:val="32"/>
          <w:highlight w:val="none"/>
          <w:u w:val="none"/>
          <w:lang w:val="en-US" w:eastAsia="zh-CN" w:bidi="ar-SA"/>
          <w14:textFill>
            <w14:solidFill>
              <w14:schemeClr w14:val="tx1"/>
            </w14:solidFill>
          </w14:textFill>
        </w:rPr>
        <w:t>在糕点中</w:t>
      </w:r>
      <w:r>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t>最大使用限量为1.0g/kg。造成山梨酸及其钾盐（以山梨酸计）不合格的原因，可能是企业为延长产品保质期或者为弥补产品生产中卫生条件不佳超量使用而导致。</w:t>
      </w:r>
    </w:p>
    <w:sectPr>
      <w:pgSz w:w="11906" w:h="16838"/>
      <w:pgMar w:top="2098" w:right="1531"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roman"/>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CC34CA"/>
    <w:rsid w:val="02D4355F"/>
    <w:rsid w:val="039159AE"/>
    <w:rsid w:val="051C7148"/>
    <w:rsid w:val="05745268"/>
    <w:rsid w:val="06AB60C8"/>
    <w:rsid w:val="06D74455"/>
    <w:rsid w:val="06F6725A"/>
    <w:rsid w:val="08123F6F"/>
    <w:rsid w:val="08CF3AE4"/>
    <w:rsid w:val="0B45380D"/>
    <w:rsid w:val="0B810491"/>
    <w:rsid w:val="0BA40294"/>
    <w:rsid w:val="0BE7744C"/>
    <w:rsid w:val="0C8C4767"/>
    <w:rsid w:val="10457B90"/>
    <w:rsid w:val="11B128FF"/>
    <w:rsid w:val="12454475"/>
    <w:rsid w:val="15584A2B"/>
    <w:rsid w:val="15BC6831"/>
    <w:rsid w:val="15EC594F"/>
    <w:rsid w:val="167B6CBC"/>
    <w:rsid w:val="168C6AE4"/>
    <w:rsid w:val="17677D3A"/>
    <w:rsid w:val="18484AED"/>
    <w:rsid w:val="1924456A"/>
    <w:rsid w:val="193E4B7D"/>
    <w:rsid w:val="193E766E"/>
    <w:rsid w:val="1A1F09D3"/>
    <w:rsid w:val="1B793D04"/>
    <w:rsid w:val="1D4213BE"/>
    <w:rsid w:val="1E5B1377"/>
    <w:rsid w:val="20B8243C"/>
    <w:rsid w:val="21DA7B2F"/>
    <w:rsid w:val="24131B6C"/>
    <w:rsid w:val="2462067D"/>
    <w:rsid w:val="247A66AE"/>
    <w:rsid w:val="26631425"/>
    <w:rsid w:val="26DF4641"/>
    <w:rsid w:val="272354B2"/>
    <w:rsid w:val="279C4F22"/>
    <w:rsid w:val="27A95480"/>
    <w:rsid w:val="28B22DF6"/>
    <w:rsid w:val="291476A5"/>
    <w:rsid w:val="29572E48"/>
    <w:rsid w:val="29785E86"/>
    <w:rsid w:val="29FE2EE1"/>
    <w:rsid w:val="2A2D3458"/>
    <w:rsid w:val="2A8B307E"/>
    <w:rsid w:val="2B6D3EE0"/>
    <w:rsid w:val="2B7D7B70"/>
    <w:rsid w:val="2BAF5CCC"/>
    <w:rsid w:val="2BCE09B8"/>
    <w:rsid w:val="2C231D56"/>
    <w:rsid w:val="2C444745"/>
    <w:rsid w:val="2D851703"/>
    <w:rsid w:val="2DB63420"/>
    <w:rsid w:val="2FC7227B"/>
    <w:rsid w:val="314046C3"/>
    <w:rsid w:val="324E00CB"/>
    <w:rsid w:val="324E0779"/>
    <w:rsid w:val="32882B90"/>
    <w:rsid w:val="328D30D8"/>
    <w:rsid w:val="32AE6FC5"/>
    <w:rsid w:val="332F602F"/>
    <w:rsid w:val="33775400"/>
    <w:rsid w:val="33883CFF"/>
    <w:rsid w:val="34594806"/>
    <w:rsid w:val="34761836"/>
    <w:rsid w:val="360936EC"/>
    <w:rsid w:val="36225F84"/>
    <w:rsid w:val="37442689"/>
    <w:rsid w:val="37600B06"/>
    <w:rsid w:val="387631F6"/>
    <w:rsid w:val="398E4007"/>
    <w:rsid w:val="39B72E0C"/>
    <w:rsid w:val="3C0E1DC6"/>
    <w:rsid w:val="3C350180"/>
    <w:rsid w:val="3C392146"/>
    <w:rsid w:val="3CB27B7F"/>
    <w:rsid w:val="3EAE1333"/>
    <w:rsid w:val="3F871D1D"/>
    <w:rsid w:val="4039711A"/>
    <w:rsid w:val="40F07FFA"/>
    <w:rsid w:val="41537311"/>
    <w:rsid w:val="428848CF"/>
    <w:rsid w:val="42C5372B"/>
    <w:rsid w:val="435033F0"/>
    <w:rsid w:val="43B7770A"/>
    <w:rsid w:val="451200B3"/>
    <w:rsid w:val="460D6897"/>
    <w:rsid w:val="48846AEF"/>
    <w:rsid w:val="48C2669E"/>
    <w:rsid w:val="48DE0700"/>
    <w:rsid w:val="49810C65"/>
    <w:rsid w:val="4A4F4589"/>
    <w:rsid w:val="4C615739"/>
    <w:rsid w:val="4DF21D57"/>
    <w:rsid w:val="4E1F1340"/>
    <w:rsid w:val="4E2C5712"/>
    <w:rsid w:val="4FBE9E45"/>
    <w:rsid w:val="50715D75"/>
    <w:rsid w:val="508E0988"/>
    <w:rsid w:val="50BD5E1A"/>
    <w:rsid w:val="50CD6CD5"/>
    <w:rsid w:val="51DA41BF"/>
    <w:rsid w:val="51DB6199"/>
    <w:rsid w:val="533A18EA"/>
    <w:rsid w:val="53B83987"/>
    <w:rsid w:val="55566CEA"/>
    <w:rsid w:val="555F54B8"/>
    <w:rsid w:val="55C7567C"/>
    <w:rsid w:val="567A47C5"/>
    <w:rsid w:val="59224657"/>
    <w:rsid w:val="593659D6"/>
    <w:rsid w:val="5B380402"/>
    <w:rsid w:val="5C454A26"/>
    <w:rsid w:val="5D355F3F"/>
    <w:rsid w:val="5D6D3F12"/>
    <w:rsid w:val="5D817942"/>
    <w:rsid w:val="5DC475F0"/>
    <w:rsid w:val="5E1E6906"/>
    <w:rsid w:val="5ED95286"/>
    <w:rsid w:val="5EE80608"/>
    <w:rsid w:val="5FC26101"/>
    <w:rsid w:val="60A46527"/>
    <w:rsid w:val="616F0994"/>
    <w:rsid w:val="62393C54"/>
    <w:rsid w:val="62894790"/>
    <w:rsid w:val="63217256"/>
    <w:rsid w:val="645D636E"/>
    <w:rsid w:val="648D0CE1"/>
    <w:rsid w:val="64975239"/>
    <w:rsid w:val="65BE4C71"/>
    <w:rsid w:val="66202520"/>
    <w:rsid w:val="68DA55BD"/>
    <w:rsid w:val="694B2A77"/>
    <w:rsid w:val="6B3B0481"/>
    <w:rsid w:val="6CE62940"/>
    <w:rsid w:val="6D700FAF"/>
    <w:rsid w:val="6DFF29E8"/>
    <w:rsid w:val="6F3B2CE3"/>
    <w:rsid w:val="71D631AF"/>
    <w:rsid w:val="722C2B09"/>
    <w:rsid w:val="72B73991"/>
    <w:rsid w:val="746605D8"/>
    <w:rsid w:val="76090AFB"/>
    <w:rsid w:val="76CB3F79"/>
    <w:rsid w:val="76E60202"/>
    <w:rsid w:val="772D16F5"/>
    <w:rsid w:val="77704BDB"/>
    <w:rsid w:val="77745CF2"/>
    <w:rsid w:val="785415C7"/>
    <w:rsid w:val="7A935AC6"/>
    <w:rsid w:val="7CB400F8"/>
    <w:rsid w:val="7CCF0986"/>
    <w:rsid w:val="DFE5C8C1"/>
    <w:rsid w:val="EFBDF633"/>
    <w:rsid w:val="F7DED237"/>
    <w:rsid w:val="FF7C6264"/>
    <w:rsid w:val="FFFFF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0</TotalTime>
  <ScaleCrop>false</ScaleCrop>
  <LinksUpToDate>false</LinksUpToDate>
  <CharactersWithSpaces>1152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2021-11-10T14:11:00Z</dcterms:created>
  <dc:creator>anshenghui</dc:creator>
  <cp:lastModifiedBy>miu</cp:lastModifiedBy>
  <cp:lastPrinted>2021-11-10T17:23:00Z</cp:lastPrinted>
  <dcterms:modified xsi:type="dcterms:W3CDTF">2024-06-06T02:51:52Z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59C52D3E5ED14B2AAC34DFF374B5170D</vt:lpwstr>
  </property>
</Properties>
</file>