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color w:val="auto"/>
          <w:spacing w:val="-11"/>
          <w:sz w:val="32"/>
          <w:szCs w:val="44"/>
          <w:lang w:val="en-US" w:eastAsia="zh-CN"/>
        </w:rPr>
      </w:pPr>
      <w:bookmarkStart w:id="0" w:name="_GoBack"/>
      <w:r>
        <w:rPr>
          <w:rFonts w:hint="eastAsia" w:ascii="宋体" w:hAnsi="宋体" w:eastAsia="方正黑体_GBK" w:cs="宋体"/>
          <w:color w:val="auto"/>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pPr>
        <w:pStyle w:val="2"/>
        <w:rPr>
          <w:rFonts w:ascii="宋体" w:hAnsi="宋体"/>
          <w:color w:val="auto"/>
        </w:rPr>
      </w:pPr>
    </w:p>
    <w:p>
      <w:pPr>
        <w:pStyle w:val="2"/>
        <w:keepNext w:val="0"/>
        <w:keepLines w:val="0"/>
        <w:pageBreakBefore w:val="0"/>
        <w:widowControl w:val="0"/>
        <w:kinsoku/>
        <w:wordWrap/>
        <w:overflowPunct/>
        <w:topLinePunct w:val="0"/>
        <w:autoSpaceDE/>
        <w:autoSpaceDN/>
        <w:bidi w:val="0"/>
        <w:snapToGrid/>
        <w:spacing w:line="590" w:lineRule="exact"/>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一、4-氯苯氧乙酸钠(以4-氯苯氧乙酸计)</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宋体" w:hAnsi="宋体" w:eastAsia="方正仿宋_GBK" w:cs="宋体"/>
          <w:color w:val="auto"/>
          <w:kern w:val="2"/>
          <w:sz w:val="32"/>
          <w:szCs w:val="32"/>
          <w:highlight w:val="none"/>
          <w:lang w:val="en-US" w:eastAsia="zh-CN" w:bidi="ar-SA"/>
        </w:rPr>
      </w:pPr>
      <w:r>
        <w:rPr>
          <w:rFonts w:hint="eastAsia" w:ascii="宋体" w:hAnsi="宋体" w:eastAsia="方正仿宋_GBK" w:cs="宋体"/>
          <w:color w:val="auto"/>
          <w:kern w:val="2"/>
          <w:sz w:val="32"/>
          <w:szCs w:val="32"/>
          <w:highlight w:val="none"/>
          <w:lang w:val="en-US" w:eastAsia="zh-CN" w:bidi="ar-SA"/>
        </w:rPr>
        <w:t>氯苯氧乙酸钠（以4-氯苯氧乙酸计）又称防落素、保果灵，是一种植物生长调节剂。主要用于防止落花落果、抑制豆类生根等。《国家食品药品监督管理总局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4-氯苯氧乙酸钠，可能是由于生产者在豆芽生产过程中为了抑制豆芽生根，提高豆芽产量，从而违规使用相关农药。</w:t>
      </w:r>
    </w:p>
    <w:p>
      <w:pPr>
        <w:keepNext w:val="0"/>
        <w:keepLines w:val="0"/>
        <w:pageBreakBefore w:val="0"/>
        <w:widowControl w:val="0"/>
        <w:kinsoku/>
        <w:wordWrap/>
        <w:overflowPunct/>
        <w:topLinePunct w:val="0"/>
        <w:autoSpaceDE/>
        <w:autoSpaceDN/>
        <w:bidi w:val="0"/>
        <w:adjustRightInd/>
        <w:snapToGrid/>
        <w:spacing w:line="594" w:lineRule="exact"/>
        <w:ind w:firstLine="596" w:firstLineChars="200"/>
        <w:textAlignment w:val="auto"/>
        <w:rPr>
          <w:rFonts w:hint="eastAsia" w:ascii="宋体" w:hAnsi="宋体" w:eastAsia="方正黑体_GBK" w:cs="方正黑体_GBK"/>
          <w:b w:val="0"/>
          <w:bCs w:val="0"/>
          <w:color w:val="auto"/>
          <w:spacing w:val="-11"/>
          <w:sz w:val="32"/>
          <w:szCs w:val="32"/>
          <w:lang w:val="en-US" w:eastAsia="zh-CN"/>
        </w:rPr>
      </w:pPr>
      <w:r>
        <w:rPr>
          <w:rFonts w:hint="eastAsia" w:ascii="宋体" w:hAnsi="宋体" w:eastAsia="方正黑体_GBK" w:cs="方正黑体_GBK"/>
          <w:b w:val="0"/>
          <w:bCs w:val="0"/>
          <w:color w:val="auto"/>
          <w:spacing w:val="-11"/>
          <w:sz w:val="32"/>
          <w:szCs w:val="32"/>
          <w:lang w:val="en-US" w:eastAsia="zh-CN"/>
        </w:rPr>
        <w:t>二、联苯菊酯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联苯菊酯属于拟除虫菊酯类性农药。急性中毒症状为头痛、头晕、恶心、呕吐、胸闷、乏力、双手颤抖、心律不齐等。食用食品一般不会导致联苯菊酯的急性中毒，但长期食用联苯菊酯超标的食品，对人体健康也有一定影响。《食品安全国家标准 食品中农药最大残留限量》（GB 2763—2021）中规定，柑中联苯菊酯最大残留限量为0.05mg/kg。沃柑中联苯菊酯超标的原因，可能是果农对农药使用的安全间隔期不了解，从而违规使用或滥用农药。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宋体" w:hAnsi="宋体" w:eastAsia="黑体"/>
          <w:color w:val="auto"/>
          <w:sz w:val="32"/>
          <w:szCs w:val="32"/>
        </w:rPr>
      </w:pPr>
      <w:r>
        <w:rPr>
          <w:rFonts w:hint="eastAsia" w:ascii="宋体" w:hAnsi="宋体" w:eastAsia="黑体"/>
          <w:color w:val="auto"/>
          <w:sz w:val="32"/>
          <w:szCs w:val="32"/>
          <w:lang w:val="en-US" w:eastAsia="zh-CN"/>
        </w:rPr>
        <w:t>三</w:t>
      </w:r>
      <w:r>
        <w:rPr>
          <w:rFonts w:hint="eastAsia" w:ascii="宋体" w:hAnsi="宋体" w:eastAsia="黑体"/>
          <w:color w:val="auto"/>
          <w:sz w:val="32"/>
          <w:szCs w:val="32"/>
        </w:rPr>
        <w:t>、亚硝酸盐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亚硝酸盐，是常见的防腐剂和护色剂。亚硝酸盐可导致高铁血红蛋白血症，摄入高剂量的亚硝酸盐能引起中毒。《食品安全国家标准 食品添加剂使用标准》（GB 2760-2014）中规定，腌腊肉制品类中亚硝酸盐（以亚硝酸钠计）残留量应小于等于30mg/kg。亚硝酸盐不达标原因可能是卫生质量控制不当。</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四、噻虫胺</w:t>
      </w:r>
    </w:p>
    <w:p>
      <w:pPr>
        <w:spacing w:line="594" w:lineRule="exact"/>
        <w:ind w:firstLine="640" w:firstLineChars="200"/>
        <w:jc w:val="left"/>
        <w:rPr>
          <w:rFonts w:hint="eastAsia" w:ascii="宋体" w:hAnsi="宋体"/>
          <w:color w:val="auto"/>
          <w:lang w:val="en-US" w:eastAsia="zh-CN"/>
        </w:rPr>
      </w:pPr>
      <w:r>
        <w:rPr>
          <w:rFonts w:hint="eastAsia" w:ascii="宋体" w:hAnsi="宋体" w:eastAsia="方正仿宋_GBK" w:cs="方正仿宋_GBK"/>
          <w:color w:val="auto"/>
          <w:kern w:val="2"/>
          <w:sz w:val="32"/>
          <w:szCs w:val="32"/>
          <w:lang w:val="en-US" w:eastAsia="zh-CN" w:bidi="ar-SA"/>
        </w:rPr>
        <w:t>噻虫胺烟碱类杀虫剂，急性毒性分级为微毒。急性中毒可出现恶心、呕吐、头痛、乏力、躁动、抽搐等。食用食品一般不会导致噻虫胺的急性中毒，但长期食用噻虫胺超标的食品，对人体健康也有一定影响。《食品安全国家标准 食品中农药最大残留限量》（GB 2763—2021）中规定，</w:t>
      </w:r>
      <w:r>
        <w:rPr>
          <w:rFonts w:hint="eastAsia" w:ascii="宋体" w:hAnsi="宋体" w:eastAsia="仿宋_GB2312" w:cs="Times New Roman"/>
          <w:color w:val="auto"/>
          <w:kern w:val="2"/>
          <w:sz w:val="32"/>
          <w:szCs w:val="32"/>
          <w:lang w:val="en-US" w:eastAsia="zh-CN" w:bidi="ar-SA"/>
        </w:rPr>
        <w:t>噻虫胺在茄果类蔬菜中的最大残留限量为0.05mg/kg。噻虫胺残留超标的原因可能是农产品种植者为加强防病效果超量使用农药，也可能是种植户未严格按照农药安全间隔期，提前采收农作物。</w:t>
      </w:r>
    </w:p>
    <w:p>
      <w:pPr>
        <w:keepNext w:val="0"/>
        <w:keepLines w:val="0"/>
        <w:pageBreakBefore w:val="0"/>
        <w:kinsoku/>
        <w:wordWrap/>
        <w:overflowPunct/>
        <w:topLinePunct w:val="0"/>
        <w:autoSpaceDE/>
        <w:autoSpaceDN/>
        <w:bidi w:val="0"/>
        <w:snapToGrid/>
        <w:spacing w:line="594" w:lineRule="exact"/>
        <w:ind w:firstLine="640" w:firstLineChars="200"/>
        <w:jc w:val="left"/>
        <w:textAlignment w:val="auto"/>
        <w:rPr>
          <w:rFonts w:hint="default" w:ascii="宋体" w:hAnsi="宋体" w:eastAsia="方正仿宋_GBK" w:cs="宋体"/>
          <w:color w:val="auto"/>
          <w:kern w:val="2"/>
          <w:sz w:val="32"/>
          <w:szCs w:val="32"/>
          <w:lang w:val="en-US" w:eastAsia="zh-CN" w:bidi="ar-SA"/>
        </w:rPr>
      </w:pPr>
    </w:p>
    <w:bookmarkEnd w:id="0"/>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996BB4-8A25-496A-9722-951733C2BA1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68D6986B-623B-46DE-8B1E-AD473A674E83}"/>
  </w:font>
  <w:font w:name="方正小标宋_GBK">
    <w:panose1 w:val="03000509000000000000"/>
    <w:charset w:val="86"/>
    <w:family w:val="auto"/>
    <w:pitch w:val="default"/>
    <w:sig w:usb0="00000001" w:usb1="080E0000" w:usb2="00000000" w:usb3="00000000" w:csb0="00040000" w:csb1="00000000"/>
    <w:embedRegular r:id="rId3" w:fontKey="{EDE775D3-BE14-4685-B00E-9882CD027CDB}"/>
  </w:font>
  <w:font w:name="仿宋_GB2312">
    <w:altName w:val="仿宋"/>
    <w:panose1 w:val="02010609030101010101"/>
    <w:charset w:val="86"/>
    <w:family w:val="modern"/>
    <w:pitch w:val="default"/>
    <w:sig w:usb0="00000000" w:usb1="00000000" w:usb2="00000000" w:usb3="00000000" w:csb0="00040000" w:csb1="00000000"/>
    <w:embedRegular r:id="rId4" w:fontKey="{104DD03F-685B-4BA8-8653-5687262D7AC2}"/>
  </w:font>
  <w:font w:name="方正仿宋_GBK">
    <w:panose1 w:val="03000509000000000000"/>
    <w:charset w:val="86"/>
    <w:family w:val="auto"/>
    <w:pitch w:val="default"/>
    <w:sig w:usb0="00000001" w:usb1="080E0000" w:usb2="00000000" w:usb3="00000000" w:csb0="00040000" w:csb1="00000000"/>
    <w:embedRegular r:id="rId5" w:fontKey="{EA1C9DB2-3B69-49EA-8E4E-F4082372FC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948C40"/>
    <w:multiLevelType w:val="singleLevel"/>
    <w:tmpl w:val="A9948C4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DF598E"/>
    <w:rsid w:val="02E57613"/>
    <w:rsid w:val="04C76D91"/>
    <w:rsid w:val="04D4291E"/>
    <w:rsid w:val="04EB64FF"/>
    <w:rsid w:val="05164C23"/>
    <w:rsid w:val="07DB4775"/>
    <w:rsid w:val="08F07F5B"/>
    <w:rsid w:val="09C57F9D"/>
    <w:rsid w:val="0AAD14F9"/>
    <w:rsid w:val="0BAB600D"/>
    <w:rsid w:val="0BAF665A"/>
    <w:rsid w:val="0C4E3D58"/>
    <w:rsid w:val="0D870F11"/>
    <w:rsid w:val="0E4A6D82"/>
    <w:rsid w:val="0E611762"/>
    <w:rsid w:val="0EAF6971"/>
    <w:rsid w:val="0EF669E1"/>
    <w:rsid w:val="0FED6590"/>
    <w:rsid w:val="101E7775"/>
    <w:rsid w:val="10DC1574"/>
    <w:rsid w:val="11AA7966"/>
    <w:rsid w:val="12096398"/>
    <w:rsid w:val="13622204"/>
    <w:rsid w:val="13866C43"/>
    <w:rsid w:val="141679B1"/>
    <w:rsid w:val="150258D5"/>
    <w:rsid w:val="15205ED3"/>
    <w:rsid w:val="159E2C66"/>
    <w:rsid w:val="15B85137"/>
    <w:rsid w:val="16041BA6"/>
    <w:rsid w:val="187854F2"/>
    <w:rsid w:val="18C66F88"/>
    <w:rsid w:val="1D231C99"/>
    <w:rsid w:val="1D2A530E"/>
    <w:rsid w:val="1DFF4B09"/>
    <w:rsid w:val="1E8219AC"/>
    <w:rsid w:val="1F0653D6"/>
    <w:rsid w:val="1F6B795B"/>
    <w:rsid w:val="200535FF"/>
    <w:rsid w:val="20485A70"/>
    <w:rsid w:val="222114DC"/>
    <w:rsid w:val="242404B2"/>
    <w:rsid w:val="243C124F"/>
    <w:rsid w:val="26647BE9"/>
    <w:rsid w:val="27633C24"/>
    <w:rsid w:val="2AC16902"/>
    <w:rsid w:val="2B626CC5"/>
    <w:rsid w:val="2BDB0938"/>
    <w:rsid w:val="2C9024A3"/>
    <w:rsid w:val="2CC55E02"/>
    <w:rsid w:val="2DE7759F"/>
    <w:rsid w:val="2EAF23A5"/>
    <w:rsid w:val="2F0D0E1E"/>
    <w:rsid w:val="2FB35B1D"/>
    <w:rsid w:val="311F0C14"/>
    <w:rsid w:val="31A57A34"/>
    <w:rsid w:val="32135C95"/>
    <w:rsid w:val="32195D2C"/>
    <w:rsid w:val="329D62E1"/>
    <w:rsid w:val="34220DB4"/>
    <w:rsid w:val="345745AF"/>
    <w:rsid w:val="3569521C"/>
    <w:rsid w:val="361B61C7"/>
    <w:rsid w:val="36AD3D17"/>
    <w:rsid w:val="378206DC"/>
    <w:rsid w:val="37DE5A4E"/>
    <w:rsid w:val="39124ABE"/>
    <w:rsid w:val="3A512225"/>
    <w:rsid w:val="3B797920"/>
    <w:rsid w:val="3BF375EE"/>
    <w:rsid w:val="3CEE66E0"/>
    <w:rsid w:val="3D2F4655"/>
    <w:rsid w:val="3D8A5562"/>
    <w:rsid w:val="3DFE3476"/>
    <w:rsid w:val="3ECA4CD4"/>
    <w:rsid w:val="3F2D2006"/>
    <w:rsid w:val="3F6251B6"/>
    <w:rsid w:val="40475A64"/>
    <w:rsid w:val="42E23FC2"/>
    <w:rsid w:val="43FB64F2"/>
    <w:rsid w:val="44586DC0"/>
    <w:rsid w:val="46BD6F7D"/>
    <w:rsid w:val="46F05C86"/>
    <w:rsid w:val="475278BE"/>
    <w:rsid w:val="479E0D55"/>
    <w:rsid w:val="48805DD2"/>
    <w:rsid w:val="492963C6"/>
    <w:rsid w:val="492E435B"/>
    <w:rsid w:val="49D942C7"/>
    <w:rsid w:val="4A0D2464"/>
    <w:rsid w:val="4A486C4A"/>
    <w:rsid w:val="4AFE195C"/>
    <w:rsid w:val="4B304B48"/>
    <w:rsid w:val="4B5562A0"/>
    <w:rsid w:val="4BC323F1"/>
    <w:rsid w:val="4BFE1DC3"/>
    <w:rsid w:val="4BFF5B3B"/>
    <w:rsid w:val="4C9B5A25"/>
    <w:rsid w:val="4D354A0D"/>
    <w:rsid w:val="4DB7491F"/>
    <w:rsid w:val="4DC4703C"/>
    <w:rsid w:val="4E0C414E"/>
    <w:rsid w:val="4E755725"/>
    <w:rsid w:val="4ECF7A46"/>
    <w:rsid w:val="4EE57FD2"/>
    <w:rsid w:val="4EE87D43"/>
    <w:rsid w:val="4FAB400F"/>
    <w:rsid w:val="503009B9"/>
    <w:rsid w:val="50804728"/>
    <w:rsid w:val="513203F0"/>
    <w:rsid w:val="51632454"/>
    <w:rsid w:val="51B01DB1"/>
    <w:rsid w:val="52732B71"/>
    <w:rsid w:val="53250C8E"/>
    <w:rsid w:val="532E3A5B"/>
    <w:rsid w:val="5429718F"/>
    <w:rsid w:val="550769B0"/>
    <w:rsid w:val="56102E1E"/>
    <w:rsid w:val="56124994"/>
    <w:rsid w:val="56743629"/>
    <w:rsid w:val="56D800A3"/>
    <w:rsid w:val="570861EB"/>
    <w:rsid w:val="57DD4F82"/>
    <w:rsid w:val="5A947624"/>
    <w:rsid w:val="5B0203A0"/>
    <w:rsid w:val="5B2353A2"/>
    <w:rsid w:val="5CA4072E"/>
    <w:rsid w:val="5EAB5261"/>
    <w:rsid w:val="5F0E41AF"/>
    <w:rsid w:val="5F192639"/>
    <w:rsid w:val="603617D7"/>
    <w:rsid w:val="6074044E"/>
    <w:rsid w:val="60A95113"/>
    <w:rsid w:val="60FD15F7"/>
    <w:rsid w:val="62E21FE6"/>
    <w:rsid w:val="630270EC"/>
    <w:rsid w:val="6341378F"/>
    <w:rsid w:val="63A75247"/>
    <w:rsid w:val="63E11CB1"/>
    <w:rsid w:val="64FE2942"/>
    <w:rsid w:val="668C5268"/>
    <w:rsid w:val="67AB0CED"/>
    <w:rsid w:val="67D45B94"/>
    <w:rsid w:val="67E36D35"/>
    <w:rsid w:val="68676CB7"/>
    <w:rsid w:val="6931048F"/>
    <w:rsid w:val="6A00000E"/>
    <w:rsid w:val="6A49294B"/>
    <w:rsid w:val="6A592AD1"/>
    <w:rsid w:val="6A7A5576"/>
    <w:rsid w:val="6BE44B4A"/>
    <w:rsid w:val="6C2E1E33"/>
    <w:rsid w:val="6D1B75AA"/>
    <w:rsid w:val="6D3C22F3"/>
    <w:rsid w:val="6D535020"/>
    <w:rsid w:val="6E0005AE"/>
    <w:rsid w:val="6E69475C"/>
    <w:rsid w:val="6ED3511D"/>
    <w:rsid w:val="6FB17851"/>
    <w:rsid w:val="6FB849AC"/>
    <w:rsid w:val="70700E45"/>
    <w:rsid w:val="709C5D3C"/>
    <w:rsid w:val="70A278C4"/>
    <w:rsid w:val="70DC2E9E"/>
    <w:rsid w:val="714D5A47"/>
    <w:rsid w:val="727857FE"/>
    <w:rsid w:val="73B76B77"/>
    <w:rsid w:val="74A44FDB"/>
    <w:rsid w:val="75856B41"/>
    <w:rsid w:val="76285DB6"/>
    <w:rsid w:val="77777B42"/>
    <w:rsid w:val="7AE845AB"/>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763</Words>
  <Characters>817</Characters>
  <Lines>16</Lines>
  <Paragraphs>4</Paragraphs>
  <TotalTime>1</TotalTime>
  <ScaleCrop>false</ScaleCrop>
  <LinksUpToDate>false</LinksUpToDate>
  <CharactersWithSpaces>823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2024-06-03T09:10:41Z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665DFCFFE0C14853875C9B62468006AB</vt:lpwstr>
  </property>
</Properties>
</file>