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pPr>
        <w:pStyle w:val="2"/>
        <w:rPr>
          <w:rFonts w:ascii="宋体" w:hAnsi="宋体"/>
          <w:color w:val="auto"/>
        </w:rPr>
      </w:pPr>
    </w:p>
    <w:p>
      <w:pPr>
        <w:spacing w:line="594" w:lineRule="exact"/>
        <w:ind w:firstLine="592" w:firstLineChars="200"/>
        <w:jc w:val="left"/>
        <w:rPr>
          <w:rFonts w:ascii="宋体" w:hAnsi="宋体" w:eastAsia="黑体"/>
          <w:color w:val="auto"/>
          <w:spacing w:val="-12"/>
          <w:sz w:val="32"/>
          <w:szCs w:val="32"/>
          <w:highlight w:val="none"/>
        </w:rPr>
      </w:pPr>
      <w:r>
        <w:rPr>
          <w:rFonts w:hint="eastAsia" w:ascii="宋体" w:hAnsi="宋体" w:eastAsia="黑体"/>
          <w:color w:val="auto"/>
          <w:spacing w:val="-12"/>
          <w:sz w:val="32"/>
          <w:szCs w:val="32"/>
          <w:highlight w:val="none"/>
          <w:lang w:val="en-US" w:eastAsia="zh-CN"/>
        </w:rPr>
        <w:t>一</w:t>
      </w:r>
      <w:r>
        <w:rPr>
          <w:rFonts w:hint="eastAsia" w:ascii="宋体" w:hAnsi="宋体" w:eastAsia="黑体"/>
          <w:color w:val="auto"/>
          <w:spacing w:val="-12"/>
          <w:sz w:val="32"/>
          <w:szCs w:val="32"/>
          <w:highlight w:val="none"/>
        </w:rPr>
        <w:t>、苯醚甲环唑</w:t>
      </w:r>
    </w:p>
    <w:p>
      <w:pPr>
        <w:keepNext w:val="0"/>
        <w:keepLines w:val="0"/>
        <w:pageBreakBefore w:val="0"/>
        <w:kinsoku/>
        <w:wordWrap/>
        <w:overflowPunct/>
        <w:topLinePunct w:val="0"/>
        <w:autoSpaceDE/>
        <w:autoSpaceDN/>
        <w:bidi w:val="0"/>
        <w:snapToGrid/>
        <w:spacing w:line="594" w:lineRule="exact"/>
        <w:ind w:firstLine="640" w:firstLineChars="200"/>
        <w:textAlignment w:val="auto"/>
        <w:rPr>
          <w:rFonts w:hint="eastAsia" w:ascii="宋体" w:hAnsi="宋体" w:eastAsia="仿宋_GB2312"/>
          <w:color w:val="auto"/>
          <w:sz w:val="32"/>
          <w:szCs w:val="32"/>
          <w:highlight w:val="none"/>
          <w:lang w:val="en-US" w:eastAsia="zh-CN"/>
        </w:rPr>
      </w:pPr>
      <w:r>
        <w:rPr>
          <w:rFonts w:hint="eastAsia" w:ascii="宋体" w:hAnsi="宋体" w:eastAsia="仿宋_GB2312" w:cs="Times New Roman"/>
          <w:color w:val="auto"/>
          <w:kern w:val="2"/>
          <w:sz w:val="32"/>
          <w:szCs w:val="32"/>
          <w:highlight w:val="none"/>
          <w:lang w:val="en-US" w:eastAsia="zh-CN" w:bidi="ar-SA"/>
        </w:rPr>
        <w:t>苯醚甲环唑是低毒杂环类杀菌剂农药，是三唑类杀菌剂中安全性比较高的，广泛应用于果树、蔬菜等作物，有效防治黑星病，黑痘病、白腐病、斑点落叶病、白粉病、褐斑病、锈病、条锈病、赤霉病等。少量的农药残留不会引起人体急性中毒，但长期食用农药残留超标的食品，对人体健康有一定影响。《食品安全国家标准 食品中农药最大残留限量》（GB 2763—2021）规定，苯醚甲环唑在橘中的最大残留限量值为0.2mg/kg。苯醚甲环唑超标的原因可能是水果种植户在生产过程中不考虑农药的半衰期，不按产品说</w:t>
      </w:r>
      <w:r>
        <w:rPr>
          <w:rFonts w:hint="eastAsia" w:ascii="宋体" w:hAnsi="宋体" w:eastAsia="仿宋_GB2312"/>
          <w:color w:val="auto"/>
          <w:sz w:val="32"/>
          <w:szCs w:val="32"/>
          <w:highlight w:val="none"/>
          <w:lang w:val="en-US" w:eastAsia="zh-CN"/>
        </w:rPr>
        <w:t>明书规定随意或超剂量喷洒农药，以致于农药在水果中残留量超标。</w:t>
      </w:r>
    </w:p>
    <w:p>
      <w:pPr>
        <w:spacing w:line="594" w:lineRule="exact"/>
        <w:ind w:firstLine="592" w:firstLineChars="200"/>
        <w:jc w:val="left"/>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二、铝的残留量</w:t>
      </w:r>
    </w:p>
    <w:p>
      <w:pPr>
        <w:keepNext w:val="0"/>
        <w:keepLines w:val="0"/>
        <w:pageBreakBefore w:val="0"/>
        <w:kinsoku/>
        <w:wordWrap/>
        <w:overflowPunct/>
        <w:topLinePunct w:val="0"/>
        <w:autoSpaceDE/>
        <w:autoSpaceDN/>
        <w:bidi w:val="0"/>
        <w:snapToGrid/>
        <w:spacing w:line="594" w:lineRule="exact"/>
        <w:ind w:firstLine="640" w:firstLineChars="200"/>
        <w:textAlignment w:val="auto"/>
        <w:rPr>
          <w:rFonts w:hint="eastAsia" w:ascii="宋体" w:hAnsi="宋体" w:eastAsia="仿宋_GB2312"/>
          <w:color w:val="auto"/>
          <w:sz w:val="32"/>
          <w:szCs w:val="32"/>
        </w:rPr>
      </w:pPr>
      <w:r>
        <w:rPr>
          <w:rFonts w:hint="eastAsia" w:ascii="宋体" w:hAnsi="宋体" w:eastAsia="仿宋_GB2312"/>
          <w:color w:val="auto"/>
          <w:sz w:val="32"/>
          <w:szCs w:val="32"/>
          <w:highlight w:val="none"/>
        </w:rPr>
        <w:t>含铝食品添加剂，</w:t>
      </w:r>
      <w:r>
        <w:rPr>
          <w:rFonts w:ascii="宋体" w:hAnsi="宋体" w:eastAsia="仿宋_GB2312" w:cs="Times New Roman"/>
          <w:color w:val="auto"/>
          <w:sz w:val="32"/>
          <w:szCs w:val="32"/>
        </w:rPr>
        <w:t>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w:t>
      </w:r>
      <w:r>
        <w:rPr>
          <w:rFonts w:ascii="宋体" w:hAnsi="宋体" w:eastAsia="仿宋_GB2312"/>
          <w:color w:val="auto"/>
          <w:sz w:val="32"/>
          <w:szCs w:val="32"/>
        </w:rPr>
        <w:t>《食品安全国家标准</w:t>
      </w:r>
      <w:r>
        <w:rPr>
          <w:rFonts w:hint="eastAsia" w:ascii="宋体" w:hAnsi="宋体" w:eastAsia="仿宋_GB2312"/>
          <w:color w:val="auto"/>
          <w:sz w:val="32"/>
          <w:szCs w:val="32"/>
        </w:rPr>
        <w:t xml:space="preserve"> </w:t>
      </w:r>
      <w:r>
        <w:rPr>
          <w:rFonts w:ascii="宋体" w:hAnsi="宋体" w:eastAsia="仿宋_GB2312"/>
          <w:color w:val="auto"/>
          <w:sz w:val="32"/>
          <w:szCs w:val="32"/>
        </w:rPr>
        <w:t>食</w:t>
      </w:r>
      <w:r>
        <w:rPr>
          <w:rFonts w:hint="eastAsia" w:ascii="宋体" w:hAnsi="宋体" w:eastAsia="仿宋_GB2312"/>
          <w:color w:val="auto"/>
          <w:sz w:val="32"/>
          <w:szCs w:val="32"/>
        </w:rPr>
        <w:t>品</w:t>
      </w:r>
      <w:r>
        <w:rPr>
          <w:rFonts w:ascii="宋体" w:hAnsi="宋体" w:eastAsia="仿宋_GB2312"/>
          <w:color w:val="auto"/>
          <w:sz w:val="32"/>
          <w:szCs w:val="32"/>
        </w:rPr>
        <w:t>添加剂使用标准》（</w:t>
      </w:r>
      <w:r>
        <w:rPr>
          <w:rFonts w:ascii="宋体" w:hAnsi="宋体" w:eastAsia="仿宋_GB2312"/>
          <w:color w:val="auto"/>
          <w:sz w:val="32"/>
          <w:szCs w:val="32"/>
        </w:rPr>
        <w:t>GB 2760</w:t>
      </w:r>
      <w:r>
        <w:rPr>
          <w:rFonts w:hint="eastAsia" w:ascii="宋体" w:hAnsi="宋体" w:eastAsia="仿宋_GB2312"/>
          <w:color w:val="auto"/>
          <w:sz w:val="32"/>
          <w:szCs w:val="32"/>
        </w:rPr>
        <w:t>—</w:t>
      </w:r>
      <w:r>
        <w:rPr>
          <w:rFonts w:ascii="宋体" w:hAnsi="宋体" w:eastAsia="仿宋_GB2312"/>
          <w:color w:val="auto"/>
          <w:sz w:val="32"/>
          <w:szCs w:val="32"/>
        </w:rPr>
        <w:t>2014</w:t>
      </w:r>
      <w:r>
        <w:rPr>
          <w:rFonts w:ascii="宋体" w:hAnsi="宋体" w:eastAsia="仿宋_GB2312"/>
          <w:color w:val="auto"/>
          <w:sz w:val="32"/>
          <w:szCs w:val="32"/>
        </w:rPr>
        <w:t>）中规定</w:t>
      </w:r>
      <w:r>
        <w:rPr>
          <w:rFonts w:hint="eastAsia" w:ascii="宋体" w:hAnsi="宋体" w:eastAsia="仿宋_GB2312"/>
          <w:color w:val="auto"/>
          <w:sz w:val="32"/>
          <w:szCs w:val="32"/>
        </w:rPr>
        <w:t>，</w:t>
      </w:r>
      <w:r>
        <w:rPr>
          <w:rFonts w:hint="eastAsia" w:ascii="宋体" w:hAnsi="宋体" w:eastAsia="仿宋_GB2312" w:cs="Times New Roman"/>
          <w:color w:val="auto"/>
          <w:sz w:val="32"/>
          <w:szCs w:val="32"/>
        </w:rPr>
        <w:t>油炸面制品</w:t>
      </w:r>
      <w:r>
        <w:rPr>
          <w:rFonts w:ascii="宋体" w:hAnsi="宋体" w:eastAsia="仿宋_GB2312"/>
          <w:color w:val="auto"/>
          <w:sz w:val="32"/>
          <w:szCs w:val="32"/>
        </w:rPr>
        <w:t>中铝的最大残留限量</w:t>
      </w:r>
      <w:r>
        <w:rPr>
          <w:rFonts w:hint="eastAsia" w:ascii="宋体" w:hAnsi="宋体" w:eastAsia="仿宋_GB2312"/>
          <w:color w:val="auto"/>
          <w:sz w:val="32"/>
          <w:szCs w:val="32"/>
        </w:rPr>
        <w:t>值</w:t>
      </w:r>
      <w:r>
        <w:rPr>
          <w:rFonts w:ascii="宋体" w:hAnsi="宋体" w:eastAsia="仿宋_GB2312"/>
          <w:color w:val="auto"/>
          <w:sz w:val="32"/>
          <w:szCs w:val="32"/>
        </w:rPr>
        <w:t>为</w:t>
      </w:r>
      <w:r>
        <w:rPr>
          <w:rFonts w:ascii="宋体" w:hAnsi="宋体" w:eastAsia="仿宋_GB2312"/>
          <w:color w:val="auto"/>
          <w:sz w:val="32"/>
          <w:szCs w:val="32"/>
        </w:rPr>
        <w:t>100mg/kg</w:t>
      </w:r>
      <w:r>
        <w:rPr>
          <w:rFonts w:ascii="宋体" w:hAnsi="宋体" w:eastAsia="仿宋_GB2312"/>
          <w:color w:val="auto"/>
          <w:sz w:val="32"/>
          <w:szCs w:val="32"/>
        </w:rPr>
        <w:t>。</w:t>
      </w:r>
      <w:r>
        <w:rPr>
          <w:rFonts w:hint="eastAsia" w:ascii="宋体" w:hAnsi="宋体" w:eastAsia="仿宋_GB2312" w:cs="Times New Roman"/>
          <w:color w:val="auto"/>
          <w:sz w:val="32"/>
          <w:szCs w:val="32"/>
        </w:rPr>
        <w:t>油炸面制品</w:t>
      </w:r>
      <w:r>
        <w:rPr>
          <w:rFonts w:hint="eastAsia" w:ascii="宋体" w:hAnsi="宋体" w:eastAsia="仿宋_GB2312"/>
          <w:color w:val="auto"/>
          <w:sz w:val="32"/>
          <w:szCs w:val="32"/>
        </w:rPr>
        <w:t>中</w:t>
      </w:r>
      <w:r>
        <w:rPr>
          <w:rFonts w:ascii="宋体" w:hAnsi="宋体" w:eastAsia="仿宋_GB2312"/>
          <w:color w:val="auto"/>
          <w:sz w:val="32"/>
          <w:szCs w:val="32"/>
        </w:rPr>
        <w:t>铝的残留量</w:t>
      </w:r>
      <w:r>
        <w:rPr>
          <w:rFonts w:hint="eastAsia" w:ascii="宋体" w:hAnsi="宋体" w:eastAsia="仿宋_GB2312"/>
          <w:color w:val="auto"/>
          <w:sz w:val="32"/>
          <w:szCs w:val="32"/>
        </w:rPr>
        <w:t>（干样品，以</w:t>
      </w:r>
      <w:r>
        <w:rPr>
          <w:rFonts w:ascii="宋体" w:hAnsi="宋体" w:eastAsia="仿宋_GB2312"/>
          <w:color w:val="auto"/>
          <w:sz w:val="32"/>
          <w:szCs w:val="32"/>
        </w:rPr>
        <w:t>Al</w:t>
      </w:r>
      <w:r>
        <w:rPr>
          <w:rFonts w:hint="eastAsia" w:ascii="宋体" w:hAnsi="宋体" w:eastAsia="仿宋_GB2312"/>
          <w:color w:val="auto"/>
          <w:sz w:val="32"/>
          <w:szCs w:val="32"/>
        </w:rPr>
        <w:t>计）</w:t>
      </w:r>
      <w:r>
        <w:rPr>
          <w:rFonts w:hint="eastAsia" w:ascii="宋体" w:hAnsi="宋体" w:eastAsia="仿宋_GB2312"/>
          <w:color w:val="auto"/>
          <w:sz w:val="32"/>
          <w:szCs w:val="32"/>
          <w:lang w:eastAsia="zh-CN"/>
        </w:rPr>
        <w:t>超标</w:t>
      </w:r>
      <w:r>
        <w:rPr>
          <w:rFonts w:hint="eastAsia" w:ascii="宋体" w:hAnsi="宋体" w:eastAsia="仿宋_GB2312"/>
          <w:color w:val="auto"/>
          <w:sz w:val="32"/>
          <w:szCs w:val="32"/>
        </w:rPr>
        <w:t>的原因，可能是个别企业为增加产品口感，在生产加工过程中超限量使用含铝添加剂</w:t>
      </w:r>
      <w:r>
        <w:rPr>
          <w:rFonts w:hint="eastAsia" w:ascii="宋体" w:hAnsi="宋体" w:eastAsia="仿宋_GB2312"/>
          <w:color w:val="auto"/>
          <w:sz w:val="32"/>
          <w:szCs w:val="32"/>
          <w:lang w:eastAsia="zh-CN"/>
        </w:rPr>
        <w:t>，也</w:t>
      </w:r>
      <w:r>
        <w:rPr>
          <w:rFonts w:hint="eastAsia" w:ascii="宋体" w:hAnsi="宋体" w:eastAsia="仿宋_GB2312"/>
          <w:color w:val="auto"/>
          <w:sz w:val="32"/>
          <w:szCs w:val="32"/>
        </w:rPr>
        <w:t>可能是企业使用的复配添加剂中铝含量过高</w:t>
      </w:r>
      <w:r>
        <w:rPr>
          <w:rFonts w:hint="eastAsia" w:ascii="宋体" w:hAnsi="宋体" w:eastAsia="仿宋_GB2312"/>
          <w:color w:val="auto"/>
          <w:sz w:val="32"/>
          <w:szCs w:val="32"/>
          <w:lang w:eastAsia="zh-CN"/>
        </w:rPr>
        <w:t>，或</w:t>
      </w:r>
      <w:r>
        <w:rPr>
          <w:rFonts w:ascii="宋体" w:hAnsi="宋体" w:eastAsia="仿宋_GB2312" w:cs="Times New Roman"/>
          <w:color w:val="auto"/>
          <w:sz w:val="32"/>
          <w:szCs w:val="32"/>
        </w:rPr>
        <w:t>使用</w:t>
      </w:r>
      <w:r>
        <w:rPr>
          <w:rFonts w:hint="eastAsia" w:ascii="宋体" w:hAnsi="宋体" w:eastAsia="仿宋_GB2312" w:cs="Times New Roman"/>
          <w:color w:val="auto"/>
          <w:sz w:val="32"/>
          <w:szCs w:val="32"/>
          <w:lang w:eastAsia="zh-CN"/>
        </w:rPr>
        <w:t>了</w:t>
      </w:r>
      <w:r>
        <w:rPr>
          <w:rFonts w:hint="eastAsia" w:ascii="宋体" w:hAnsi="宋体" w:eastAsia="仿宋_GB2312" w:cs="Times New Roman"/>
          <w:color w:val="auto"/>
          <w:sz w:val="32"/>
          <w:szCs w:val="32"/>
        </w:rPr>
        <w:t>受环境影响有较高铝含量</w:t>
      </w:r>
      <w:r>
        <w:rPr>
          <w:rFonts w:hint="eastAsia" w:ascii="宋体" w:hAnsi="宋体" w:eastAsia="仿宋_GB2312" w:cs="Times New Roman"/>
          <w:color w:val="auto"/>
          <w:sz w:val="32"/>
          <w:szCs w:val="32"/>
          <w:lang w:eastAsia="zh-CN"/>
        </w:rPr>
        <w:t>的</w:t>
      </w:r>
      <w:r>
        <w:rPr>
          <w:rFonts w:ascii="宋体" w:hAnsi="宋体" w:eastAsia="仿宋_GB2312" w:cs="Times New Roman"/>
          <w:color w:val="auto"/>
          <w:sz w:val="32"/>
          <w:szCs w:val="32"/>
        </w:rPr>
        <w:t>原料</w:t>
      </w:r>
      <w:r>
        <w:rPr>
          <w:rFonts w:hint="eastAsia" w:ascii="宋体" w:hAnsi="宋体" w:eastAsia="仿宋_GB2312"/>
          <w:color w:val="auto"/>
          <w:sz w:val="32"/>
          <w:szCs w:val="32"/>
        </w:rPr>
        <w:t>。</w:t>
      </w:r>
    </w:p>
    <w:p>
      <w:pPr>
        <w:keepNext w:val="0"/>
        <w:keepLines w:val="0"/>
        <w:pageBreakBefore w:val="0"/>
        <w:kinsoku/>
        <w:wordWrap/>
        <w:overflowPunct/>
        <w:topLinePunct w:val="0"/>
        <w:autoSpaceDE/>
        <w:autoSpaceDN/>
        <w:bidi w:val="0"/>
        <w:snapToGrid/>
        <w:spacing w:line="594" w:lineRule="exact"/>
        <w:ind w:firstLine="592" w:firstLineChars="200"/>
        <w:textAlignment w:val="auto"/>
        <w:rPr>
          <w:rFonts w:ascii="宋体" w:hAnsi="宋体" w:eastAsia="黑体"/>
          <w:color w:val="auto"/>
          <w:spacing w:val="-12"/>
          <w:sz w:val="32"/>
          <w:szCs w:val="32"/>
          <w:highlight w:val="none"/>
        </w:rPr>
      </w:pPr>
      <w:r>
        <w:rPr>
          <w:rFonts w:hint="eastAsia" w:ascii="宋体" w:hAnsi="宋体" w:eastAsia="黑体"/>
          <w:color w:val="auto"/>
          <w:spacing w:val="-12"/>
          <w:sz w:val="32"/>
          <w:szCs w:val="32"/>
          <w:highlight w:val="none"/>
          <w:lang w:val="en-US" w:eastAsia="zh-CN"/>
        </w:rPr>
        <w:t>三</w:t>
      </w:r>
      <w:r>
        <w:rPr>
          <w:rFonts w:hint="eastAsia" w:ascii="宋体" w:hAnsi="宋体" w:eastAsia="黑体"/>
          <w:color w:val="auto"/>
          <w:spacing w:val="-12"/>
          <w:sz w:val="32"/>
          <w:szCs w:val="32"/>
          <w:highlight w:val="none"/>
        </w:rPr>
        <w:t>、戊唑醇</w:t>
      </w:r>
    </w:p>
    <w:p>
      <w:pPr>
        <w:keepNext w:val="0"/>
        <w:keepLines w:val="0"/>
        <w:pageBreakBefore w:val="0"/>
        <w:kinsoku/>
        <w:wordWrap/>
        <w:overflowPunct/>
        <w:topLinePunct w:val="0"/>
        <w:autoSpaceDE/>
        <w:autoSpaceDN/>
        <w:bidi w:val="0"/>
        <w:snapToGrid/>
        <w:spacing w:line="594" w:lineRule="exact"/>
        <w:ind w:firstLine="640" w:firstLineChars="200"/>
        <w:textAlignment w:val="auto"/>
        <w:rPr>
          <w:rFonts w:ascii="宋体" w:hAnsi="宋体" w:eastAsia="仿宋_GB2312" w:cs="Times New Roman"/>
          <w:color w:val="auto"/>
          <w:sz w:val="32"/>
          <w:szCs w:val="32"/>
          <w:highlight w:val="none"/>
        </w:rPr>
      </w:pPr>
      <w:r>
        <w:rPr>
          <w:rFonts w:hint="eastAsia" w:ascii="宋体" w:hAnsi="宋体" w:eastAsia="仿宋_GB2312"/>
          <w:color w:val="auto"/>
          <w:sz w:val="32"/>
          <w:szCs w:val="32"/>
          <w:highlight w:val="none"/>
        </w:rPr>
        <w:t>戊唑醇是一种具有保护、治疗和铲除作用的内吸性杀菌剂。</w:t>
      </w:r>
      <w:r>
        <w:rPr>
          <w:rFonts w:ascii="宋体" w:hAnsi="宋体" w:eastAsia="仿宋_GB2312"/>
          <w:color w:val="auto"/>
          <w:sz w:val="32"/>
          <w:szCs w:val="32"/>
          <w:highlight w:val="none"/>
        </w:rPr>
        <w:t>少量的残留不会引起人体急性中毒</w:t>
      </w:r>
      <w:r>
        <w:rPr>
          <w:rFonts w:hint="eastAsia" w:ascii="宋体" w:hAnsi="宋体" w:eastAsia="仿宋_GB2312"/>
          <w:color w:val="auto"/>
          <w:sz w:val="32"/>
          <w:szCs w:val="32"/>
          <w:highlight w:val="none"/>
        </w:rPr>
        <w:t>，但长期食用戊唑醇超标的食品，对人体健康可能有一定影响。</w:t>
      </w:r>
      <w:r>
        <w:rPr>
          <w:rFonts w:hint="eastAsia" w:ascii="宋体" w:hAnsi="宋体" w:eastAsia="仿宋_GB2312"/>
          <w:color w:val="auto"/>
          <w:sz w:val="32"/>
          <w:szCs w:val="32"/>
          <w:highlight w:val="none"/>
        </w:rPr>
        <w:t xml:space="preserve">《食品安全国家标准 食品中农药最大残留限量》（GB </w:t>
      </w:r>
      <w:r>
        <w:rPr>
          <w:rFonts w:hint="eastAsia" w:ascii="宋体" w:hAnsi="宋体" w:eastAsia="仿宋_GB2312"/>
          <w:color w:val="auto"/>
          <w:sz w:val="32"/>
          <w:szCs w:val="32"/>
          <w:highlight w:val="none"/>
          <w:lang w:eastAsia="zh-CN"/>
        </w:rPr>
        <w:t>2763—2021</w:t>
      </w:r>
      <w:r>
        <w:rPr>
          <w:rFonts w:hint="eastAsia" w:ascii="宋体" w:hAnsi="宋体" w:eastAsia="仿宋_GB2312"/>
          <w:color w:val="auto"/>
          <w:sz w:val="32"/>
          <w:szCs w:val="32"/>
          <w:highlight w:val="none"/>
        </w:rPr>
        <w:t>）中规定，</w:t>
      </w:r>
      <w:r>
        <w:rPr>
          <w:rFonts w:hint="eastAsia" w:ascii="宋体" w:hAnsi="宋体" w:eastAsia="仿宋_GB2312"/>
          <w:color w:val="auto"/>
          <w:sz w:val="32"/>
          <w:szCs w:val="32"/>
          <w:highlight w:val="none"/>
        </w:rPr>
        <w:t>戊唑醇</w:t>
      </w:r>
      <w:r>
        <w:rPr>
          <w:rFonts w:hint="eastAsia" w:ascii="宋体" w:hAnsi="宋体" w:eastAsia="仿宋_GB2312"/>
          <w:color w:val="auto"/>
          <w:sz w:val="32"/>
          <w:szCs w:val="32"/>
          <w:highlight w:val="none"/>
        </w:rPr>
        <w:t>在芒果中的最大残留限量值为0.05mg/kg。芒果中</w:t>
      </w:r>
      <w:r>
        <w:rPr>
          <w:rFonts w:hint="eastAsia" w:ascii="宋体" w:hAnsi="宋体" w:eastAsia="仿宋_GB2312"/>
          <w:color w:val="auto"/>
          <w:sz w:val="32"/>
          <w:szCs w:val="32"/>
          <w:highlight w:val="none"/>
        </w:rPr>
        <w:t>戊唑醇残留量</w:t>
      </w:r>
      <w:r>
        <w:rPr>
          <w:rFonts w:hint="eastAsia" w:ascii="宋体" w:hAnsi="宋体" w:eastAsia="仿宋_GB2312"/>
          <w:color w:val="auto"/>
          <w:sz w:val="32"/>
          <w:szCs w:val="32"/>
          <w:highlight w:val="none"/>
        </w:rPr>
        <w:t>超标的原因，可能</w:t>
      </w:r>
      <w:r>
        <w:rPr>
          <w:rFonts w:hint="eastAsia" w:ascii="宋体" w:hAnsi="宋体" w:eastAsia="仿宋_GB2312"/>
          <w:color w:val="auto"/>
          <w:sz w:val="32"/>
          <w:szCs w:val="32"/>
          <w:highlight w:val="none"/>
        </w:rPr>
        <w:t>是</w:t>
      </w:r>
      <w:r>
        <w:rPr>
          <w:rFonts w:hint="eastAsia" w:ascii="宋体" w:hAnsi="宋体" w:eastAsia="仿宋_GB2312"/>
          <w:color w:val="auto"/>
          <w:sz w:val="32"/>
          <w:szCs w:val="32"/>
          <w:highlight w:val="none"/>
        </w:rPr>
        <w:t>为</w:t>
      </w:r>
      <w:r>
        <w:rPr>
          <w:rFonts w:ascii="宋体" w:hAnsi="宋体" w:eastAsia="仿宋_GB2312"/>
          <w:color w:val="auto"/>
          <w:sz w:val="32"/>
          <w:szCs w:val="32"/>
          <w:highlight w:val="none"/>
        </w:rPr>
        <w:t>快速控制病情</w:t>
      </w:r>
      <w:r>
        <w:rPr>
          <w:rFonts w:hint="eastAsia" w:ascii="宋体" w:hAnsi="宋体" w:eastAsia="仿宋_GB2312"/>
          <w:color w:val="auto"/>
          <w:sz w:val="32"/>
          <w:szCs w:val="32"/>
          <w:highlight w:val="none"/>
        </w:rPr>
        <w:t>，</w:t>
      </w:r>
      <w:r>
        <w:rPr>
          <w:rFonts w:ascii="宋体" w:hAnsi="宋体" w:eastAsia="仿宋_GB2312"/>
          <w:color w:val="auto"/>
          <w:sz w:val="32"/>
          <w:szCs w:val="32"/>
          <w:highlight w:val="none"/>
        </w:rPr>
        <w:t>加大用药量</w:t>
      </w:r>
      <w:r>
        <w:rPr>
          <w:rFonts w:hint="eastAsia" w:ascii="宋体" w:hAnsi="宋体" w:eastAsia="仿宋_GB2312"/>
          <w:color w:val="auto"/>
          <w:sz w:val="32"/>
          <w:szCs w:val="32"/>
          <w:highlight w:val="none"/>
        </w:rPr>
        <w:t>或</w:t>
      </w:r>
      <w:r>
        <w:rPr>
          <w:rFonts w:ascii="宋体" w:hAnsi="宋体" w:eastAsia="仿宋_GB2312"/>
          <w:color w:val="auto"/>
          <w:sz w:val="32"/>
          <w:szCs w:val="32"/>
          <w:highlight w:val="none"/>
        </w:rPr>
        <w:t>未遵守采摘间隔期</w:t>
      </w:r>
      <w:r>
        <w:rPr>
          <w:rFonts w:hint="eastAsia" w:ascii="宋体" w:hAnsi="宋体" w:eastAsia="仿宋_GB2312"/>
          <w:color w:val="auto"/>
          <w:sz w:val="32"/>
          <w:szCs w:val="32"/>
          <w:highlight w:val="none"/>
        </w:rPr>
        <w:t>规定</w:t>
      </w:r>
      <w:r>
        <w:rPr>
          <w:rFonts w:ascii="宋体" w:hAnsi="宋体" w:eastAsia="仿宋_GB2312"/>
          <w:color w:val="auto"/>
          <w:sz w:val="32"/>
          <w:szCs w:val="32"/>
          <w:highlight w:val="none"/>
        </w:rPr>
        <w:t>，致使上市销售</w:t>
      </w:r>
      <w:bookmarkStart w:id="0" w:name="_GoBack"/>
      <w:bookmarkEnd w:id="0"/>
      <w:r>
        <w:rPr>
          <w:rFonts w:hint="eastAsia" w:ascii="宋体" w:hAnsi="宋体" w:eastAsia="仿宋_GB2312"/>
          <w:color w:val="auto"/>
          <w:sz w:val="32"/>
          <w:szCs w:val="32"/>
          <w:highlight w:val="none"/>
        </w:rPr>
        <w:t>的产品中残留量超标</w:t>
      </w:r>
      <w:r>
        <w:rPr>
          <w:rFonts w:ascii="宋体" w:hAnsi="宋体"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90" w:lineRule="exact"/>
        <w:ind w:firstLine="592" w:firstLineChars="200"/>
        <w:textAlignment w:val="auto"/>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四、恩诺沙星</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宋体" w:hAnsi="宋体" w:eastAsia="方正仿宋_GBK" w:cs="宋体"/>
          <w:color w:val="auto"/>
          <w:kern w:val="2"/>
          <w:sz w:val="32"/>
          <w:szCs w:val="32"/>
          <w:lang w:val="en-US" w:eastAsia="zh-CN" w:bidi="ar-SA"/>
        </w:rPr>
      </w:pPr>
      <w:r>
        <w:rPr>
          <w:rFonts w:hint="eastAsia" w:ascii="宋体" w:hAnsi="宋体" w:eastAsia="方正仿宋_GBK" w:cs="宋体"/>
          <w:color w:val="auto"/>
          <w:kern w:val="2"/>
          <w:sz w:val="32"/>
          <w:szCs w:val="32"/>
          <w:lang w:val="en-US" w:eastAsia="zh-CN" w:bidi="ar-SA"/>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 食品中兽药最大残留限量》（GB 31650—2019）中规定，恩诺沙星在鱼的皮和肉中最大残留限量值为100μg/kg。淡水鱼中恩诺沙星超标的原因，可能是在养殖过程中为快速控制疫病，违规加大用药量或不遵守休药期规定，致使产品上市销售时的药物残留量超标。</w:t>
      </w:r>
    </w:p>
    <w:sectPr>
      <w:footerReference r:id="rId3" w:type="default"/>
      <w:footerReference r:id="rId4" w:type="even"/>
      <w:pgSz w:w="11906" w:h="16838"/>
      <w:pgMar w:top="2098"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1F2AEC-E192-4898-9FE4-9F1BF763E2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7ECDDB84-5C4A-424A-84E2-D81A34C57AFC}"/>
  </w:font>
  <w:font w:name="方正小标宋_GBK">
    <w:panose1 w:val="03000509000000000000"/>
    <w:charset w:val="86"/>
    <w:family w:val="auto"/>
    <w:pitch w:val="default"/>
    <w:sig w:usb0="00000001" w:usb1="080E0000" w:usb2="00000000" w:usb3="00000000" w:csb0="00040000" w:csb1="00000000"/>
    <w:embedRegular r:id="rId3" w:fontKey="{7D5ED245-36FD-47F4-9738-9F6EB8AB0CAF}"/>
  </w:font>
  <w:font w:name="方正仿宋_GBK">
    <w:panose1 w:val="03000509000000000000"/>
    <w:charset w:val="86"/>
    <w:family w:val="auto"/>
    <w:pitch w:val="default"/>
    <w:sig w:usb0="00000001" w:usb1="080E0000" w:usb2="00000000" w:usb3="00000000" w:csb0="00040000" w:csb1="00000000"/>
    <w:embedRegular r:id="rId4" w:fontKey="{C50B5525-CAF2-4DC9-B0E5-DD38984A0148}"/>
  </w:font>
  <w:font w:name="仿宋_GB2312">
    <w:altName w:val="仿宋"/>
    <w:panose1 w:val="02010609030101010101"/>
    <w:charset w:val="86"/>
    <w:family w:val="modern"/>
    <w:pitch w:val="default"/>
    <w:sig w:usb0="00000000" w:usb1="00000000" w:usb2="00000000" w:usb3="00000000" w:csb0="00040000" w:csb1="00000000"/>
    <w:embedRegular r:id="rId5" w:fontKey="{B4F78747-007B-4CF0-A2B9-ABB3678FE9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54E2"/>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1F1D2C"/>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06AE3"/>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1657A8B"/>
    <w:rsid w:val="02DF598E"/>
    <w:rsid w:val="02E57613"/>
    <w:rsid w:val="04C76D91"/>
    <w:rsid w:val="04D4291E"/>
    <w:rsid w:val="04EB64FF"/>
    <w:rsid w:val="05164C23"/>
    <w:rsid w:val="07DB4775"/>
    <w:rsid w:val="08F07F5B"/>
    <w:rsid w:val="09C57F9D"/>
    <w:rsid w:val="0AAD14F9"/>
    <w:rsid w:val="0AE1251E"/>
    <w:rsid w:val="0BAB600D"/>
    <w:rsid w:val="0BAF665A"/>
    <w:rsid w:val="0C4E3D58"/>
    <w:rsid w:val="0D870F11"/>
    <w:rsid w:val="0DF06AB6"/>
    <w:rsid w:val="0E4A6D82"/>
    <w:rsid w:val="0E611762"/>
    <w:rsid w:val="0EAF6971"/>
    <w:rsid w:val="0EF669E1"/>
    <w:rsid w:val="0FED6590"/>
    <w:rsid w:val="101E7775"/>
    <w:rsid w:val="10DC1574"/>
    <w:rsid w:val="11AA7966"/>
    <w:rsid w:val="12096398"/>
    <w:rsid w:val="13622204"/>
    <w:rsid w:val="13866C43"/>
    <w:rsid w:val="13A32481"/>
    <w:rsid w:val="141679B1"/>
    <w:rsid w:val="150258D5"/>
    <w:rsid w:val="15205ED3"/>
    <w:rsid w:val="159E2C66"/>
    <w:rsid w:val="15B85137"/>
    <w:rsid w:val="16041BA6"/>
    <w:rsid w:val="16EF3DAF"/>
    <w:rsid w:val="175005C5"/>
    <w:rsid w:val="187854F2"/>
    <w:rsid w:val="18C66F88"/>
    <w:rsid w:val="1D231C99"/>
    <w:rsid w:val="1D2A530E"/>
    <w:rsid w:val="1DFF4B09"/>
    <w:rsid w:val="1E8219AC"/>
    <w:rsid w:val="1F0653D6"/>
    <w:rsid w:val="1F6B795B"/>
    <w:rsid w:val="200535FF"/>
    <w:rsid w:val="20485A70"/>
    <w:rsid w:val="222114DC"/>
    <w:rsid w:val="242404B2"/>
    <w:rsid w:val="243C124F"/>
    <w:rsid w:val="26647BE9"/>
    <w:rsid w:val="27633C24"/>
    <w:rsid w:val="29283150"/>
    <w:rsid w:val="29C56BF1"/>
    <w:rsid w:val="2AC16902"/>
    <w:rsid w:val="2B626CC5"/>
    <w:rsid w:val="2BDB0938"/>
    <w:rsid w:val="2C9024A3"/>
    <w:rsid w:val="2CC55E02"/>
    <w:rsid w:val="2DE7759F"/>
    <w:rsid w:val="2EAF23A5"/>
    <w:rsid w:val="2F0D0E1E"/>
    <w:rsid w:val="2FB35B1D"/>
    <w:rsid w:val="311F0C14"/>
    <w:rsid w:val="31A57A34"/>
    <w:rsid w:val="32004C6A"/>
    <w:rsid w:val="32075FF9"/>
    <w:rsid w:val="32135C95"/>
    <w:rsid w:val="32195D2C"/>
    <w:rsid w:val="329D62E1"/>
    <w:rsid w:val="34220DB4"/>
    <w:rsid w:val="345745AF"/>
    <w:rsid w:val="3515264E"/>
    <w:rsid w:val="353A0493"/>
    <w:rsid w:val="3569521C"/>
    <w:rsid w:val="361B61C7"/>
    <w:rsid w:val="36AD3D17"/>
    <w:rsid w:val="378206DC"/>
    <w:rsid w:val="37DE5A4E"/>
    <w:rsid w:val="390E2601"/>
    <w:rsid w:val="39124ABE"/>
    <w:rsid w:val="3A512225"/>
    <w:rsid w:val="3A8D72B7"/>
    <w:rsid w:val="3B797920"/>
    <w:rsid w:val="3BF375EE"/>
    <w:rsid w:val="3CEE66E0"/>
    <w:rsid w:val="3D2F4655"/>
    <w:rsid w:val="3D8A5562"/>
    <w:rsid w:val="3DFE3476"/>
    <w:rsid w:val="3E587BDC"/>
    <w:rsid w:val="3ECA4CD4"/>
    <w:rsid w:val="3F2D2006"/>
    <w:rsid w:val="3F6251B6"/>
    <w:rsid w:val="3FD17C46"/>
    <w:rsid w:val="40475A64"/>
    <w:rsid w:val="42E23FC2"/>
    <w:rsid w:val="43FB64F2"/>
    <w:rsid w:val="44586DC0"/>
    <w:rsid w:val="46BD6F7D"/>
    <w:rsid w:val="46F05C86"/>
    <w:rsid w:val="475278BE"/>
    <w:rsid w:val="479E0D55"/>
    <w:rsid w:val="48805DD2"/>
    <w:rsid w:val="492963C6"/>
    <w:rsid w:val="492E435B"/>
    <w:rsid w:val="49D942C7"/>
    <w:rsid w:val="4A0D2464"/>
    <w:rsid w:val="4A486C4A"/>
    <w:rsid w:val="4AFE195C"/>
    <w:rsid w:val="4B304B48"/>
    <w:rsid w:val="4B5562A0"/>
    <w:rsid w:val="4BC323F1"/>
    <w:rsid w:val="4BFE1DC3"/>
    <w:rsid w:val="4BFF5B3B"/>
    <w:rsid w:val="4C9B5A25"/>
    <w:rsid w:val="4D354A0D"/>
    <w:rsid w:val="4DB7491F"/>
    <w:rsid w:val="4DC4703C"/>
    <w:rsid w:val="4E0C414E"/>
    <w:rsid w:val="4E755725"/>
    <w:rsid w:val="4ECF7A46"/>
    <w:rsid w:val="4EE57FD2"/>
    <w:rsid w:val="4EE87D43"/>
    <w:rsid w:val="4FAB400F"/>
    <w:rsid w:val="503009B9"/>
    <w:rsid w:val="50804728"/>
    <w:rsid w:val="513203F0"/>
    <w:rsid w:val="51632454"/>
    <w:rsid w:val="51B01DB1"/>
    <w:rsid w:val="52732B71"/>
    <w:rsid w:val="52CB6777"/>
    <w:rsid w:val="53250C8E"/>
    <w:rsid w:val="532E3A5B"/>
    <w:rsid w:val="5429718F"/>
    <w:rsid w:val="550769B0"/>
    <w:rsid w:val="56102E1E"/>
    <w:rsid w:val="56124994"/>
    <w:rsid w:val="56743629"/>
    <w:rsid w:val="56D800A3"/>
    <w:rsid w:val="570861EB"/>
    <w:rsid w:val="57DD4F82"/>
    <w:rsid w:val="5A947624"/>
    <w:rsid w:val="5B0203A0"/>
    <w:rsid w:val="5B2353A2"/>
    <w:rsid w:val="5CA4072E"/>
    <w:rsid w:val="5D1D4073"/>
    <w:rsid w:val="5EAB5261"/>
    <w:rsid w:val="5F0E41AF"/>
    <w:rsid w:val="5F192639"/>
    <w:rsid w:val="603617D7"/>
    <w:rsid w:val="6074044E"/>
    <w:rsid w:val="60A95113"/>
    <w:rsid w:val="60B151FE"/>
    <w:rsid w:val="60FD15F7"/>
    <w:rsid w:val="615F4C5A"/>
    <w:rsid w:val="618C17C7"/>
    <w:rsid w:val="62E21FE6"/>
    <w:rsid w:val="630270EC"/>
    <w:rsid w:val="6341378F"/>
    <w:rsid w:val="63A75247"/>
    <w:rsid w:val="63E11CB1"/>
    <w:rsid w:val="64EA43B6"/>
    <w:rsid w:val="64FE2942"/>
    <w:rsid w:val="668C5268"/>
    <w:rsid w:val="66CB4B3F"/>
    <w:rsid w:val="67AB0CED"/>
    <w:rsid w:val="67D45B94"/>
    <w:rsid w:val="67E36D35"/>
    <w:rsid w:val="683A47A8"/>
    <w:rsid w:val="68676CB7"/>
    <w:rsid w:val="68955405"/>
    <w:rsid w:val="6931048F"/>
    <w:rsid w:val="6A00000E"/>
    <w:rsid w:val="6A49294B"/>
    <w:rsid w:val="6A592AD1"/>
    <w:rsid w:val="6A7A5576"/>
    <w:rsid w:val="6BE44B4A"/>
    <w:rsid w:val="6C2E1E33"/>
    <w:rsid w:val="6D1B75AA"/>
    <w:rsid w:val="6D3C22F3"/>
    <w:rsid w:val="6D535020"/>
    <w:rsid w:val="6E0005AE"/>
    <w:rsid w:val="6E69475C"/>
    <w:rsid w:val="6ED3511D"/>
    <w:rsid w:val="6FB17851"/>
    <w:rsid w:val="6FB849AC"/>
    <w:rsid w:val="70700E45"/>
    <w:rsid w:val="709C5D3C"/>
    <w:rsid w:val="70A278C4"/>
    <w:rsid w:val="70DC2E9E"/>
    <w:rsid w:val="714D5A47"/>
    <w:rsid w:val="726E2F4F"/>
    <w:rsid w:val="727857FE"/>
    <w:rsid w:val="73B76B77"/>
    <w:rsid w:val="742C4E6F"/>
    <w:rsid w:val="742E1372"/>
    <w:rsid w:val="74A44FDB"/>
    <w:rsid w:val="75343153"/>
    <w:rsid w:val="75856B41"/>
    <w:rsid w:val="76285DB6"/>
    <w:rsid w:val="77777B42"/>
    <w:rsid w:val="795D5ACB"/>
    <w:rsid w:val="7A9C0875"/>
    <w:rsid w:val="7AE845AB"/>
    <w:rsid w:val="7CCD4AFB"/>
    <w:rsid w:val="7D2423F5"/>
    <w:rsid w:val="7D513B99"/>
    <w:rsid w:val="7D9B250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873</Words>
  <Characters>930</Characters>
  <Lines>16</Lines>
  <Paragraphs>4</Paragraphs>
  <TotalTime>3</TotalTime>
  <ScaleCrop>false</ScaleCrop>
  <LinksUpToDate>false</LinksUpToDate>
  <CharactersWithSpaces>937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2024-06-18T01:12:06Z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665DFCFFE0C14853875C9B62468006AB</vt:lpwstr>
  </property>
</Properties>
</file>