
<file path=[Content_Types].xml><?xml version="1.0" encoding="utf-8"?>
<Types xmlns="http://schemas.openxmlformats.org/package/2006/content-types">
  <Default Extension="xml" ContentType="application/xml"/>
  <Default Extension="jpeg" ContentType="image/jpe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bookmarkStart w:id="136" w:name="_GoBack"/>
            <w:bookmarkEnd w:id="136"/>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line="240" w:lineRule="auto"/>
              <w:jc w:val="both"/>
              <w:rPr>
                <w:rFonts w:ascii="黑体" w:hAnsi="黑体" w:eastAsia="黑体"/>
                <w:sz w:val="21"/>
                <w:szCs w:val="21"/>
                <w:highlight w:val="none"/>
              </w:rPr>
            </w:pPr>
            <w:r>
              <w:rPr>
                <w:rFonts w:hint="eastAsia" w:ascii="黑体" w:hAnsi="黑体" w:eastAsia="黑体" w:cs="Times New Roman"/>
                <w:kern w:val="2"/>
                <w:sz w:val="21"/>
                <w:szCs w:val="21"/>
                <w:highlight w:val="none"/>
                <w:lang w:val="en-US" w:eastAsia="zh-CN" w:bidi="ar-SA"/>
              </w:rPr>
              <w:t>67.04</w:t>
            </w:r>
            <w:r>
              <w:rPr>
                <w:rFonts w:hint="eastAsia" w:ascii="黑体" w:hAnsi="黑体" w:eastAsia="黑体"/>
                <w:sz w:val="21"/>
                <w:szCs w:val="21"/>
                <w:highlight w:val="none"/>
                <w:lang w:val="en-US" w:eastAsia="zh-CN"/>
              </w:rPr>
              <w:t>0</w:t>
            </w:r>
            <w:r>
              <w:rPr>
                <w:rFonts w:ascii="黑体" w:hAnsi="黑体" w:eastAsia="黑体"/>
                <w:sz w:val="21"/>
                <w:szCs w:val="21"/>
                <w:highlight w:val="none"/>
              </w:rPr>
              <w:fldChar w:fldCharType="begin">
                <w:ffData>
                  <w:name w:val="ICS"/>
                  <w:enabled/>
                  <w:calcOnExit w:val="0"/>
                  <w:textInput>
                    <w:default w:val="点击此处添加ICS号"/>
                  </w:textInput>
                </w:ffData>
              </w:fldChar>
            </w:r>
            <w:bookmarkStart w:id="0" w:name="ICS"/>
            <w:r>
              <w:rPr>
                <w:rFonts w:ascii="黑体" w:hAnsi="黑体" w:eastAsia="黑体"/>
                <w:sz w:val="21"/>
                <w:szCs w:val="21"/>
                <w:highlight w:val="none"/>
              </w:rPr>
              <w:instrText xml:space="preserve"> FORMTEXT </w:instrText>
            </w:r>
            <w:r>
              <w:rPr>
                <w:rFonts w:ascii="黑体" w:hAnsi="黑体" w:eastAsia="黑体"/>
                <w:sz w:val="21"/>
                <w:szCs w:val="21"/>
                <w:highlight w:val="none"/>
              </w:rPr>
              <w:fldChar w:fldCharType="separate"/>
            </w:r>
            <w:r>
              <w:rPr>
                <w:rFonts w:ascii="黑体" w:hAnsi="黑体" w:eastAsia="黑体"/>
                <w:sz w:val="21"/>
                <w:szCs w:val="21"/>
                <w:highlight w:val="none"/>
              </w:rPr>
              <w:t xml:space="preserve"> </w:t>
            </w:r>
            <w:r>
              <w:rPr>
                <w:rFonts w:ascii="黑体" w:hAnsi="黑体" w:eastAsia="黑体"/>
                <w:sz w:val="21"/>
                <w:szCs w:val="21"/>
                <w:highlight w:val="none"/>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highlight w:val="none"/>
              </w:rPr>
            </w:pPr>
            <w:bookmarkStart w:id="1" w:name="CSDN"/>
            <w:r>
              <w:rPr>
                <w:rFonts w:hint="eastAsia" w:ascii="黑体" w:hAnsi="黑体" w:eastAsia="黑体" w:cs="Times New Roman"/>
                <w:kern w:val="2"/>
                <w:sz w:val="21"/>
                <w:szCs w:val="21"/>
                <w:highlight w:val="none"/>
                <w:lang w:val="en-US" w:eastAsia="zh-CN" w:bidi="ar-SA"/>
              </w:rPr>
              <w:fldChar w:fldCharType="begin">
                <w:ffData>
                  <w:name w:val="CSDN"/>
                  <w:enabled/>
                  <w:calcOnExit w:val="0"/>
                  <w:textInput>
                    <w:default w:val="X00"/>
                  </w:textInput>
                </w:ffData>
              </w:fldChar>
            </w:r>
            <w:r>
              <w:rPr>
                <w:rFonts w:hint="eastAsia" w:ascii="黑体" w:hAnsi="黑体" w:eastAsia="黑体" w:cs="Times New Roman"/>
                <w:kern w:val="2"/>
                <w:sz w:val="21"/>
                <w:szCs w:val="21"/>
                <w:highlight w:val="none"/>
                <w:lang w:val="en-US" w:eastAsia="zh-CN" w:bidi="ar-SA"/>
              </w:rPr>
              <w:instrText xml:space="preserve">FORMTEXT</w:instrText>
            </w:r>
            <w:r>
              <w:rPr>
                <w:rFonts w:hint="eastAsia" w:ascii="黑体" w:hAnsi="黑体" w:eastAsia="黑体" w:cs="Times New Roman"/>
                <w:kern w:val="2"/>
                <w:sz w:val="21"/>
                <w:szCs w:val="21"/>
                <w:highlight w:val="none"/>
                <w:lang w:val="en-US" w:eastAsia="zh-CN" w:bidi="ar-SA"/>
              </w:rPr>
              <w:fldChar w:fldCharType="separate"/>
            </w:r>
            <w:r>
              <w:rPr>
                <w:rFonts w:hint="eastAsia" w:ascii="黑体" w:hAnsi="黑体" w:eastAsia="黑体" w:cs="Times New Roman"/>
                <w:kern w:val="2"/>
                <w:sz w:val="21"/>
                <w:szCs w:val="21"/>
                <w:highlight w:val="none"/>
                <w:lang w:val="en-US" w:eastAsia="zh-CN" w:bidi="ar-SA"/>
              </w:rPr>
              <w:t>X00</w:t>
            </w:r>
            <w:r>
              <w:rPr>
                <w:rFonts w:hint="eastAsia" w:ascii="黑体" w:hAnsi="黑体" w:eastAsia="黑体" w:cs="Times New Roman"/>
                <w:kern w:val="2"/>
                <w:sz w:val="21"/>
                <w:szCs w:val="21"/>
                <w:highlight w:val="none"/>
                <w:lang w:val="en-US" w:eastAsia="zh-CN" w:bidi="ar-SA"/>
              </w:rPr>
              <w:fldChar w:fldCharType="end"/>
            </w:r>
            <w:bookmarkEnd w:id="1"/>
          </w:p>
        </w:tc>
      </w:tr>
    </w:tbl>
    <w:tbl>
      <w:tblPr>
        <w:tblStyle w:val="28"/>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50"/>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26" cstate="print">
                            <a:extLst>
                              <a:ext uri="{28A0092B-C50C-407E-A947-70E740481C1C}">
                                <a14:useLocalDpi xmlns:a14="http://schemas.microsoft.com/office/drawing/2010/main" val="false"/>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default w:val="31"/>
                    <w:maxLength w:val="8"/>
                  </w:textInput>
                </w:ffData>
              </w:fldChar>
            </w:r>
            <w:bookmarkStart w:id="3" w:name="c1"/>
            <w:r>
              <w:instrText xml:space="preserve"> FORMTEXT </w:instrText>
            </w:r>
            <w:r>
              <w:fldChar w:fldCharType="separate"/>
            </w:r>
            <w:r>
              <w:t>31</w:t>
            </w:r>
            <w:r>
              <w:fldChar w:fldCharType="end"/>
            </w:r>
            <w:bookmarkEnd w:id="3"/>
          </w:p>
        </w:tc>
      </w:tr>
    </w:tbl>
    <w:p>
      <w:pPr>
        <w:pStyle w:val="51"/>
        <w:framePr w:w="9639" w:h="624" w:hRule="exact" w:hSpace="181" w:vSpace="181"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default w:val="上海市"/>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上海市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6"/>
        <w:rPr>
          <w:lang w:val="fr-FR"/>
        </w:rPr>
      </w:pPr>
      <w:r>
        <w:rPr>
          <w:lang w:val="fr-FR"/>
        </w:rPr>
        <w:t>DB</w:t>
      </w:r>
      <w:r>
        <w:rPr>
          <w:sz w:val="15"/>
          <w:szCs w:val="15"/>
          <w:lang w:val="fr-FR"/>
        </w:rPr>
        <w:t xml:space="preserve"> </w:t>
      </w:r>
      <w:r>
        <w:fldChar w:fldCharType="begin">
          <w:ffData>
            <w:name w:val="文字1"/>
            <w:enabled/>
            <w:calcOnExit w:val="0"/>
            <w:textInput>
              <w:default w:val="31/T"/>
            </w:textInput>
          </w:ffData>
        </w:fldChar>
      </w:r>
      <w:bookmarkStart w:id="5" w:name="文字1"/>
      <w:r>
        <w:instrText xml:space="preserve"> FORMTEXT </w:instrText>
      </w:r>
      <w:r>
        <w:fldChar w:fldCharType="separate"/>
      </w:r>
      <w:r>
        <w:t>31/T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spacing w:line="240" w:lineRule="auto"/>
        <w:rPr>
          <w:rFonts w:ascii="黑体" w:hAnsi="黑体" w:eastAsia="黑体"/>
          <w:kern w:val="0"/>
          <w:sz w:val="10"/>
          <w:szCs w:val="10"/>
          <w:lang w:val="fr-FR"/>
        </w:rPr>
      </w:pPr>
      <w:r>
        <w:rPr>
          <w:rFonts w:ascii="黑体" w:hAnsi="黑体" w:eastAsia="黑体"/>
          <w:kern w:val="0"/>
          <w:sz w:val="10"/>
          <w:szCs w:val="1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ng0mW2AAAAAwB&#10;AAAPAAAAAAAAAAEAIAAAADgAAABkcnMvZG93bnJldi54bWxQSwECFAAUAAAACACHTuJASfTgWswB&#10;AABhAwAADgAAAAAAAAABACAAAAA9AQAAZHJzL2Uyb0RvYy54bWxQSwUGAAAAAAYABgBZAQAAewUA&#10;AAAA&#10;">
                <v:fill on="f" focussize="0,0"/>
                <v:stroke color="#000000" joinstyle="round"/>
                <v:imagedata o:title=""/>
                <o:lock v:ext="edit" aspectratio="f"/>
              </v:line>
            </w:pict>
          </mc:Fallback>
        </mc:AlternateContent>
      </w:r>
    </w:p>
    <w:p>
      <w:pPr>
        <w:pStyle w:val="51"/>
        <w:framePr w:w="9639" w:h="6976" w:hRule="exact" w:hSpace="0" w:vSpace="0" w:hAnchor="page" w:y="6408"/>
        <w:jc w:val="center"/>
        <w:rPr>
          <w:rFonts w:ascii="黑体" w:hAnsi="黑体" w:eastAsia="黑体"/>
          <w:b w:val="0"/>
          <w:bCs w:val="0"/>
          <w:w w:val="100"/>
          <w:lang w:val="fr-FR"/>
        </w:rPr>
      </w:pPr>
    </w:p>
    <w:p>
      <w:pPr>
        <w:pStyle w:val="198"/>
        <w:framePr w:h="6974" w:hRule="exact" w:wrap="around" w:x="1419" w:anchorLock="1"/>
        <w:rPr>
          <w:rFonts w:hint="default" w:eastAsia="黑体"/>
          <w:lang w:val="en-US" w:eastAsia="zh-CN"/>
        </w:rPr>
      </w:pPr>
      <w:r>
        <w:rPr>
          <w:rFonts w:hint="eastAsia"/>
          <w:lang w:val="en-US" w:eastAsia="zh-CN"/>
        </w:rPr>
        <w:t>食品安全抽样工作规范</w:t>
      </w:r>
    </w:p>
    <w:p>
      <w:pPr>
        <w:framePr w:w="9639" w:h="6974" w:hRule="exact" w:wrap="around" w:vAnchor="page" w:hAnchor="page" w:x="1419" w:y="6408" w:anchorLock="1"/>
        <w:ind w:left="-1418"/>
      </w:pPr>
    </w:p>
    <w:p>
      <w:pPr>
        <w:pStyle w:val="126"/>
        <w:framePr w:w="9639" w:h="6974" w:hRule="exact" w:wrap="around" w:vAnchor="page" w:hAnchor="page" w:x="1419" w:y="6408" w:anchorLock="1"/>
        <w:textAlignment w:val="bottom"/>
        <w:rPr>
          <w:rFonts w:hint="default" w:eastAsia="黑体"/>
          <w:szCs w:val="28"/>
          <w:lang w:val="en-US" w:eastAsia="zh-CN"/>
        </w:rPr>
      </w:pPr>
      <w:r>
        <w:rPr>
          <w:rFonts w:hint="eastAsia" w:eastAsia="黑体"/>
          <w:szCs w:val="28"/>
          <w:lang w:val="en-US" w:eastAsia="zh-CN"/>
        </w:rPr>
        <w:t>Sampling rules of food safety</w:t>
      </w:r>
    </w:p>
    <w:p>
      <w:pPr>
        <w:framePr w:w="9639" w:h="6974" w:hRule="exact" w:wrap="around" w:vAnchor="page" w:hAnchor="page" w:x="1419" w:y="6408" w:anchorLock="1"/>
        <w:spacing w:line="760" w:lineRule="exact"/>
        <w:ind w:left="-1418"/>
      </w:pPr>
    </w:p>
    <w:p>
      <w:pPr>
        <w:pStyle w:val="126"/>
        <w:framePr w:w="9639" w:h="6974" w:hRule="exact" w:wrap="around" w:vAnchor="page" w:hAnchor="page" w:x="1419" w:y="6408" w:anchorLock="1"/>
        <w:textAlignment w:val="bottom"/>
        <w:rPr>
          <w:rFonts w:eastAsia="黑体"/>
          <w:szCs w:val="28"/>
        </w:rPr>
      </w:pPr>
    </w:p>
    <w:p>
      <w:pPr>
        <w:pStyle w:val="126"/>
        <w:framePr w:w="9639" w:h="6974" w:hRule="exact" w:wrap="around" w:vAnchor="page" w:hAnchor="page" w:x="1419" w:y="6408" w:anchorLock="1"/>
        <w:spacing w:before="440" w:after="160"/>
        <w:textAlignment w:val="bottom"/>
        <w:rPr>
          <w:rFonts w:hint="eastAsia" w:eastAsia="宋体"/>
          <w:sz w:val="24"/>
          <w:szCs w:val="28"/>
          <w:lang w:eastAsia="zh-CN"/>
        </w:rPr>
      </w:pPr>
      <w:r>
        <w:rPr>
          <w:rFonts w:hint="eastAsia"/>
          <w:sz w:val="24"/>
          <w:szCs w:val="28"/>
          <w:lang w:eastAsia="zh-CN"/>
        </w:rPr>
        <w:t>（</w:t>
      </w:r>
      <w:r>
        <w:rPr>
          <w:rFonts w:hint="eastAsia"/>
          <w:sz w:val="24"/>
          <w:szCs w:val="28"/>
          <w:lang w:val="en-US" w:eastAsia="zh-CN"/>
        </w:rPr>
        <w:t>征求意见稿</w:t>
      </w:r>
      <w:r>
        <w:rPr>
          <w:rFonts w:hint="eastAsia"/>
          <w:sz w:val="24"/>
          <w:szCs w:val="28"/>
          <w:lang w:eastAsia="zh-CN"/>
        </w:rPr>
        <w:t>）</w:t>
      </w:r>
    </w:p>
    <w:p>
      <w:pPr>
        <w:pStyle w:val="126"/>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8"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8"/>
    </w:p>
    <w:p>
      <w:pPr>
        <w:pStyle w:val="126"/>
        <w:framePr w:w="9639" w:h="6974" w:hRule="exact" w:wrap="around" w:vAnchor="page" w:hAnchor="page" w:x="1419" w:y="6408" w:anchorLock="1"/>
        <w:spacing w:before="720" w:beforeLines="300" w:after="72" w:afterLines="30" w:line="240" w:lineRule="auto"/>
        <w:textAlignment w:val="bottom"/>
        <w:rPr>
          <w:b/>
          <w:sz w:val="21"/>
          <w:szCs w:val="28"/>
        </w:rPr>
      </w:pPr>
      <w:bookmarkStart w:id="9" w:name="下拉2"/>
      <w:r>
        <w:rPr>
          <w:rFonts w:ascii="Times New Roman" w:hAnsi="Times New Roman" w:eastAsia="宋体" w:cs="Times New Roman"/>
          <w:b/>
          <w:sz w:val="21"/>
          <w:szCs w:val="28"/>
          <w:lang w:val="en-US" w:eastAsia="zh-CN" w:bidi="ar-SA"/>
        </w:rPr>
        <w:fldChar w:fldCharType="begin">
          <w:ffData>
            <w:name w:val="下拉2"/>
            <w:enabled/>
            <w:calcOnExit w:val="0"/>
            <w:ddList>
              <w:listEntry w:val=" "/>
            </w:ddList>
          </w:ffData>
        </w:fldChar>
      </w:r>
      <w:r>
        <w:rPr>
          <w:rFonts w:ascii="Times New Roman" w:hAnsi="Times New Roman" w:eastAsia="宋体" w:cs="Times New Roman"/>
          <w:b/>
          <w:sz w:val="21"/>
          <w:szCs w:val="28"/>
          <w:lang w:val="en-US" w:eastAsia="zh-CN" w:bidi="ar-SA"/>
        </w:rPr>
        <w:instrText xml:space="preserve">FORMDROPDOWN</w:instrText>
      </w:r>
      <w:r>
        <w:rPr>
          <w:rFonts w:ascii="Times New Roman" w:hAnsi="Times New Roman" w:eastAsia="宋体" w:cs="Times New Roman"/>
          <w:b/>
          <w:sz w:val="21"/>
          <w:szCs w:val="28"/>
          <w:lang w:val="en-US" w:eastAsia="zh-CN" w:bidi="ar-SA"/>
        </w:rPr>
        <w:fldChar w:fldCharType="separate"/>
      </w:r>
      <w:r>
        <w:rPr>
          <w:rFonts w:ascii="Times New Roman" w:hAnsi="Times New Roman" w:eastAsia="宋体" w:cs="Times New Roman"/>
          <w:b/>
          <w:sz w:val="21"/>
          <w:szCs w:val="28"/>
          <w:lang w:val="en-US" w:eastAsia="zh-CN" w:bidi="ar-SA"/>
        </w:rPr>
        <w:fldChar w:fldCharType="end"/>
      </w:r>
      <w:bookmarkEnd w:id="9"/>
    </w:p>
    <w:p>
      <w:pPr>
        <w:pStyle w:val="194"/>
        <w:framePr w:y="14176"/>
      </w:pPr>
      <w:r>
        <w:rPr>
          <w:rFonts w:ascii="黑体"/>
        </w:rPr>
        <w:fldChar w:fldCharType="begin">
          <w:ffData>
            <w:name w:val="PLSH_DATE_Y"/>
            <w:enabled/>
            <w:calcOnExit w:val="0"/>
            <w:textInput>
              <w:default w:val="XXXX"/>
              <w:maxLength w:val="4"/>
            </w:textInput>
          </w:ffData>
        </w:fldChar>
      </w:r>
      <w:bookmarkStart w:id="10"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0"/>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1"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1"/>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2"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2"/>
      <w:r>
        <w:rPr>
          <w:rFonts w:hint="eastAsia"/>
        </w:rPr>
        <w:t>发布</w:t>
      </w:r>
    </w:p>
    <w:p>
      <w:pPr>
        <w:pStyle w:val="195"/>
        <w:framePr w:y="14176"/>
      </w:pPr>
      <w:r>
        <w:rPr>
          <w:rFonts w:ascii="黑体"/>
        </w:rPr>
        <w:fldChar w:fldCharType="begin">
          <w:ffData>
            <w:name w:val="CROT_DATE_Y"/>
            <w:enabled/>
            <w:calcOnExit w:val="0"/>
            <w:textInput>
              <w:default w:val="XXXX"/>
              <w:maxLength w:val="4"/>
            </w:textInput>
          </w:ffData>
        </w:fldChar>
      </w:r>
      <w:bookmarkStart w:id="13"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3"/>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4"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5"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hint="eastAsia"/>
        </w:rPr>
        <w:t>实施</w:t>
      </w:r>
    </w:p>
    <w:p>
      <w:pPr>
        <w:pStyle w:val="152"/>
        <w:framePr w:h="584" w:hRule="exact" w:hSpace="181" w:vSpace="181" w:y="15027"/>
        <w:rPr>
          <w:rFonts w:hAnsi="黑体"/>
        </w:rPr>
      </w:pPr>
      <w:r>
        <w:rPr>
          <w:rFonts w:hAnsi="黑体"/>
          <w:w w:val="100"/>
          <w:sz w:val="28"/>
        </w:rPr>
        <w:fldChar w:fldCharType="begin">
          <w:ffData>
            <w:name w:val="fm"/>
            <w:enabled/>
            <w:calcOnExit w:val="0"/>
            <w:textInput>
              <w:default w:val="上海市市场监督管理局"/>
            </w:textInput>
          </w:ffData>
        </w:fldChar>
      </w:r>
      <w:bookmarkStart w:id="16" w:name="fm"/>
      <w:r>
        <w:rPr>
          <w:rFonts w:hAnsi="黑体"/>
          <w:w w:val="100"/>
          <w:sz w:val="28"/>
        </w:rPr>
        <w:instrText xml:space="preserve"> FORMTEXT </w:instrText>
      </w:r>
      <w:r>
        <w:rPr>
          <w:rFonts w:hAnsi="黑体"/>
          <w:w w:val="100"/>
          <w:sz w:val="28"/>
        </w:rPr>
        <w:fldChar w:fldCharType="separate"/>
      </w:r>
      <w:r>
        <w:rPr>
          <w:rFonts w:hAnsi="黑体"/>
          <w:w w:val="100"/>
          <w:sz w:val="28"/>
        </w:rPr>
        <w:t>上海市市场监督管理局</w:t>
      </w:r>
      <w:r>
        <w:rPr>
          <w:rFonts w:hAnsi="黑体"/>
          <w:w w:val="100"/>
          <w:sz w:val="28"/>
        </w:rPr>
        <w:fldChar w:fldCharType="end"/>
      </w:r>
      <w:bookmarkEnd w:id="16"/>
      <w:r>
        <w:rPr>
          <w:rFonts w:ascii="Times New Roman"/>
          <w:w w:val="100"/>
          <w:sz w:val="28"/>
        </w:rPr>
        <w:t>  </w:t>
      </w:r>
      <w:r>
        <w:rPr>
          <w:rStyle w:val="230"/>
          <w:rFonts w:hint="eastAsia" w:hAnsi="黑体"/>
          <w:position w:val="0"/>
        </w:rPr>
        <w:t>发</w:t>
      </w:r>
      <w:r>
        <w:rPr>
          <w:rStyle w:val="230"/>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pgNumType w:fmt="upperRoman"/>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1312"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1312;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rMxz71wAAAA4BAAAP&#10;AAAAAAAAAAEAIAAAADgAAABkcnMvZG93bnJldi54bWxQSwECFAAUAAAACACHTuJAEc9x0soBAABf&#10;AwAADgAAAAAAAAABACAAAAA8AQAAZHJzL2Uyb0RvYy54bWxQSwUGAAAAAAYABgBZAQAAeAUAAAAA&#10;">
                <v:fill on="f" focussize="0,0"/>
                <v:stroke color="#000000" joinstyle="round"/>
                <v:imagedata o:title=""/>
                <o:lock v:ext="edit" aspectratio="f"/>
                <w10:anchorlock/>
              </v:line>
            </w:pict>
          </mc:Fallback>
        </mc:AlternateContent>
      </w:r>
    </w:p>
    <w:p>
      <w:pPr>
        <w:pStyle w:val="92"/>
        <w:spacing w:after="468"/>
      </w:pPr>
      <w:bookmarkStart w:id="17" w:name="BookMark1"/>
      <w:r>
        <w:rPr>
          <w:rFonts w:hint="eastAsia"/>
          <w:spacing w:val="320"/>
        </w:rPr>
        <w:t>目</w:t>
      </w:r>
      <w:r>
        <w:rPr>
          <w:rFonts w:hint="eastAsia"/>
        </w:rPr>
        <w:t>次</w:t>
      </w:r>
    </w:p>
    <w:p>
      <w:pPr>
        <w:pStyle w:val="20"/>
        <w:tabs>
          <w:tab w:val="right" w:leader="dot" w:pos="9354"/>
        </w:tabs>
        <w:rPr>
          <w:rFonts w:hint="eastAsia" w:ascii="宋体" w:hAnsi="宋体" w:eastAsia="宋体" w:cs="宋体"/>
          <w:sz w:val="21"/>
          <w:szCs w:val="21"/>
        </w:rPr>
      </w:pPr>
      <w:r>
        <w:rPr>
          <w:rFonts w:hint="eastAsia" w:ascii="宋体" w:hAnsi="宋体" w:eastAsia="宋体" w:cs="宋体"/>
        </w:rPr>
        <w:fldChar w:fldCharType="begin"/>
      </w:r>
      <w:r>
        <w:rPr>
          <w:rFonts w:hint="eastAsia" w:ascii="宋体" w:hAnsi="宋体" w:eastAsia="宋体" w:cs="宋体"/>
        </w:rPr>
        <w:instrText xml:space="preserve"> TOC \o "1-1" \h \t "标准文件_一级条标题,2,标准文件_二级条标题,3,标准文件_附录一级条标题,2,标准文件_附录二级条标题,3," </w:instrText>
      </w:r>
      <w:r>
        <w:rPr>
          <w:rFonts w:hint="eastAsia" w:ascii="宋体" w:hAnsi="宋体" w:eastAsia="宋体" w:cs="宋体"/>
        </w:rPr>
        <w:fldChar w:fldCharType="separate"/>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_Toc17744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前</w:t>
      </w:r>
      <w:r>
        <w:rPr>
          <w:rFonts w:hint="eastAsia" w:ascii="宋体" w:hAnsi="宋体" w:eastAsia="宋体" w:cs="宋体"/>
          <w:sz w:val="21"/>
          <w:szCs w:val="21"/>
        </w:rPr>
        <w:t>言</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_Toc17744 \h </w:instrText>
      </w:r>
      <w:r>
        <w:rPr>
          <w:rFonts w:hint="eastAsia" w:ascii="宋体" w:hAnsi="宋体" w:eastAsia="宋体" w:cs="宋体"/>
          <w:sz w:val="21"/>
          <w:szCs w:val="21"/>
        </w:rPr>
        <w:fldChar w:fldCharType="separate"/>
      </w:r>
      <w:r>
        <w:rPr>
          <w:rFonts w:hint="eastAsia" w:ascii="宋体" w:hAnsi="宋体" w:eastAsia="宋体" w:cs="宋体"/>
          <w:sz w:val="21"/>
          <w:szCs w:val="21"/>
        </w:rPr>
        <w:t>II</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0"/>
        <w:tabs>
          <w:tab w:val="right" w:leader="dot" w:pos="9354"/>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_Toc1476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1 </w:t>
      </w:r>
      <w:r>
        <w:rPr>
          <w:rFonts w:hint="eastAsia" w:ascii="宋体" w:hAnsi="宋体" w:eastAsia="宋体" w:cs="宋体"/>
          <w:sz w:val="21"/>
          <w:szCs w:val="21"/>
        </w:rPr>
        <w:t>范围</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_Toc1476 \h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0"/>
        <w:tabs>
          <w:tab w:val="right" w:leader="dot" w:pos="9354"/>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_Toc31001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2 </w:t>
      </w:r>
      <w:r>
        <w:rPr>
          <w:rFonts w:hint="eastAsia" w:ascii="宋体" w:hAnsi="宋体" w:eastAsia="宋体" w:cs="宋体"/>
          <w:sz w:val="21"/>
          <w:szCs w:val="21"/>
        </w:rPr>
        <w:t>规范性引用文件</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_Toc31001 \h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0"/>
        <w:tabs>
          <w:tab w:val="right" w:leader="dot" w:pos="9354"/>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_Toc14651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3 </w:t>
      </w:r>
      <w:r>
        <w:rPr>
          <w:rFonts w:hint="eastAsia" w:ascii="宋体" w:hAnsi="宋体" w:eastAsia="宋体" w:cs="宋体"/>
          <w:sz w:val="21"/>
          <w:szCs w:val="21"/>
        </w:rPr>
        <w:t>术语和定义</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_Toc14651 \h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0"/>
        <w:tabs>
          <w:tab w:val="right" w:leader="dot" w:pos="9354"/>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_Toc13631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4 </w:t>
      </w:r>
      <w:r>
        <w:rPr>
          <w:rFonts w:hint="eastAsia" w:ascii="宋体" w:hAnsi="宋体" w:eastAsia="宋体" w:cs="宋体"/>
          <w:sz w:val="21"/>
          <w:szCs w:val="21"/>
          <w:lang w:val="en-US" w:eastAsia="zh-CN"/>
        </w:rPr>
        <w:t>抽样</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_Toc13631 \h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9354"/>
          <w:tab w:val="clear" w:pos="9344"/>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_Toc13266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mallCaps w:val="0"/>
          <w:strike w:val="0"/>
          <w:dstrike w:val="0"/>
          <w:vanish w:val="0"/>
          <w:spacing w:val="0"/>
          <w:kern w:val="0"/>
          <w:position w:val="0"/>
          <w:sz w:val="21"/>
          <w:szCs w:val="21"/>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 xml:space="preserve">4.1 </w:t>
      </w:r>
      <w:r>
        <w:rPr>
          <w:rFonts w:hint="eastAsia" w:ascii="宋体" w:hAnsi="宋体" w:eastAsia="宋体" w:cs="宋体"/>
          <w:sz w:val="21"/>
          <w:szCs w:val="21"/>
          <w:lang w:val="en-US" w:eastAsia="zh-CN"/>
        </w:rPr>
        <w:t>抽样原则</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_Toc13266 \h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9354"/>
          <w:tab w:val="clear" w:pos="9344"/>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_Toc484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mallCaps w:val="0"/>
          <w:strike w:val="0"/>
          <w:dstrike w:val="0"/>
          <w:vanish w:val="0"/>
          <w:spacing w:val="0"/>
          <w:kern w:val="0"/>
          <w:position w:val="0"/>
          <w:sz w:val="21"/>
          <w:szCs w:val="21"/>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 xml:space="preserve">4.2 </w:t>
      </w:r>
      <w:r>
        <w:rPr>
          <w:rFonts w:hint="eastAsia" w:ascii="宋体" w:hAnsi="宋体" w:eastAsia="宋体" w:cs="宋体"/>
          <w:sz w:val="21"/>
          <w:szCs w:val="21"/>
          <w:lang w:val="en-US" w:eastAsia="zh-CN"/>
        </w:rPr>
        <w:t>抽样单位的确定</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_Toc484 \h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9354"/>
          <w:tab w:val="clear" w:pos="9344"/>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_Toc16509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mallCaps w:val="0"/>
          <w:strike w:val="0"/>
          <w:dstrike w:val="0"/>
          <w:vanish w:val="0"/>
          <w:spacing w:val="0"/>
          <w:kern w:val="0"/>
          <w:position w:val="0"/>
          <w:sz w:val="21"/>
          <w:szCs w:val="21"/>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 xml:space="preserve">4.3 </w:t>
      </w:r>
      <w:r>
        <w:rPr>
          <w:rFonts w:hint="eastAsia" w:ascii="宋体" w:hAnsi="宋体" w:eastAsia="宋体" w:cs="宋体"/>
          <w:sz w:val="21"/>
          <w:szCs w:val="21"/>
          <w:lang w:val="en-US" w:eastAsia="zh-CN"/>
        </w:rPr>
        <w:t>抽样前准备工作</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_Toc16509 \h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9354"/>
          <w:tab w:val="clear" w:pos="9344"/>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_Toc8391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mallCaps w:val="0"/>
          <w:strike w:val="0"/>
          <w:dstrike w:val="0"/>
          <w:vanish w:val="0"/>
          <w:spacing w:val="0"/>
          <w:kern w:val="0"/>
          <w:position w:val="0"/>
          <w:sz w:val="21"/>
          <w:szCs w:val="21"/>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 xml:space="preserve">4.4 </w:t>
      </w:r>
      <w:r>
        <w:rPr>
          <w:rFonts w:hint="eastAsia" w:ascii="宋体" w:hAnsi="宋体" w:eastAsia="宋体" w:cs="宋体"/>
          <w:sz w:val="21"/>
          <w:szCs w:val="21"/>
          <w:lang w:val="en-US" w:eastAsia="zh-CN"/>
        </w:rPr>
        <w:t>现场抽样</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_Toc8391 \h </w:instrText>
      </w:r>
      <w:r>
        <w:rPr>
          <w:rFonts w:hint="eastAsia" w:ascii="宋体" w:hAnsi="宋体" w:eastAsia="宋体" w:cs="宋体"/>
          <w:sz w:val="21"/>
          <w:szCs w:val="21"/>
        </w:rPr>
        <w:fldChar w:fldCharType="separate"/>
      </w:r>
      <w:r>
        <w:rPr>
          <w:rFonts w:hint="eastAsia" w:ascii="宋体" w:hAnsi="宋体" w:eastAsia="宋体" w:cs="宋体"/>
          <w:sz w:val="21"/>
          <w:szCs w:val="21"/>
        </w:rPr>
        <w:t>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9354"/>
          <w:tab w:val="clear" w:pos="9344"/>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_Toc18756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mallCaps w:val="0"/>
          <w:strike w:val="0"/>
          <w:dstrike w:val="0"/>
          <w:vanish w:val="0"/>
          <w:spacing w:val="0"/>
          <w:kern w:val="0"/>
          <w:position w:val="0"/>
          <w:sz w:val="21"/>
          <w:szCs w:val="21"/>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 xml:space="preserve">4.5 </w:t>
      </w:r>
      <w:r>
        <w:rPr>
          <w:rFonts w:hint="eastAsia" w:ascii="宋体" w:hAnsi="宋体" w:eastAsia="宋体" w:cs="宋体"/>
          <w:sz w:val="21"/>
          <w:szCs w:val="21"/>
          <w:highlight w:val="none"/>
          <w:lang w:val="en-US" w:eastAsia="zh-CN"/>
        </w:rPr>
        <w:t>网络抽样</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_Toc18756 \h </w:instrText>
      </w:r>
      <w:r>
        <w:rPr>
          <w:rFonts w:hint="eastAsia" w:ascii="宋体" w:hAnsi="宋体" w:eastAsia="宋体" w:cs="宋体"/>
          <w:sz w:val="21"/>
          <w:szCs w:val="21"/>
        </w:rPr>
        <w:fldChar w:fldCharType="separate"/>
      </w:r>
      <w:r>
        <w:rPr>
          <w:rFonts w:hint="eastAsia" w:ascii="宋体" w:hAnsi="宋体" w:eastAsia="宋体" w:cs="宋体"/>
          <w:sz w:val="21"/>
          <w:szCs w:val="21"/>
        </w:rPr>
        <w:t>7</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0"/>
        <w:tabs>
          <w:tab w:val="right" w:leader="dot" w:pos="9354"/>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_Toc9805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5 </w:t>
      </w:r>
      <w:r>
        <w:rPr>
          <w:rFonts w:hint="eastAsia" w:ascii="宋体" w:hAnsi="宋体" w:eastAsia="宋体" w:cs="宋体"/>
          <w:bCs/>
          <w:kern w:val="0"/>
          <w:sz w:val="21"/>
          <w:szCs w:val="21"/>
        </w:rPr>
        <w:t>信息记录</w:t>
      </w:r>
      <w:r>
        <w:rPr>
          <w:rFonts w:hint="eastAsia" w:ascii="宋体" w:hAnsi="宋体" w:eastAsia="宋体" w:cs="宋体"/>
          <w:bCs/>
          <w:kern w:val="0"/>
          <w:sz w:val="21"/>
          <w:szCs w:val="21"/>
          <w:lang w:val="en-US" w:eastAsia="zh-CN"/>
        </w:rPr>
        <w:t>保存</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_Toc9805 \h </w:instrText>
      </w:r>
      <w:r>
        <w:rPr>
          <w:rFonts w:hint="eastAsia" w:ascii="宋体" w:hAnsi="宋体" w:eastAsia="宋体" w:cs="宋体"/>
          <w:sz w:val="21"/>
          <w:szCs w:val="21"/>
        </w:rPr>
        <w:fldChar w:fldCharType="separate"/>
      </w:r>
      <w:r>
        <w:rPr>
          <w:rFonts w:hint="eastAsia" w:ascii="宋体" w:hAnsi="宋体" w:eastAsia="宋体" w:cs="宋体"/>
          <w:sz w:val="21"/>
          <w:szCs w:val="21"/>
        </w:rPr>
        <w:t>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0"/>
        <w:tabs>
          <w:tab w:val="right" w:leader="dot" w:pos="9354"/>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_Toc6585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6 </w:t>
      </w:r>
      <w:r>
        <w:rPr>
          <w:rFonts w:hint="eastAsia" w:ascii="宋体" w:hAnsi="宋体" w:eastAsia="宋体" w:cs="宋体"/>
          <w:sz w:val="21"/>
          <w:szCs w:val="21"/>
        </w:rPr>
        <w:t>样品的保存和处置</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_Toc6585 \h </w:instrText>
      </w:r>
      <w:r>
        <w:rPr>
          <w:rFonts w:hint="eastAsia" w:ascii="宋体" w:hAnsi="宋体" w:eastAsia="宋体" w:cs="宋体"/>
          <w:sz w:val="21"/>
          <w:szCs w:val="21"/>
        </w:rPr>
        <w:fldChar w:fldCharType="separate"/>
      </w:r>
      <w:r>
        <w:rPr>
          <w:rFonts w:hint="eastAsia" w:ascii="宋体" w:hAnsi="宋体" w:eastAsia="宋体" w:cs="宋体"/>
          <w:sz w:val="21"/>
          <w:szCs w:val="21"/>
        </w:rPr>
        <w:t>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0"/>
        <w:tabs>
          <w:tab w:val="right" w:leader="dot" w:pos="9354"/>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_Toc8466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7 </w:t>
      </w:r>
      <w:r>
        <w:rPr>
          <w:rFonts w:hint="eastAsia" w:ascii="宋体" w:hAnsi="宋体" w:eastAsia="宋体" w:cs="宋体"/>
          <w:bCs/>
          <w:kern w:val="0"/>
          <w:sz w:val="21"/>
          <w:szCs w:val="21"/>
          <w:lang w:val="en-US" w:eastAsia="zh-CN"/>
        </w:rPr>
        <w:t>其他要求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_Toc8466 \h </w:instrText>
      </w:r>
      <w:r>
        <w:rPr>
          <w:rFonts w:hint="eastAsia" w:ascii="宋体" w:hAnsi="宋体" w:eastAsia="宋体" w:cs="宋体"/>
          <w:sz w:val="21"/>
          <w:szCs w:val="21"/>
        </w:rPr>
        <w:fldChar w:fldCharType="separate"/>
      </w:r>
      <w:r>
        <w:rPr>
          <w:rFonts w:hint="eastAsia" w:ascii="宋体" w:hAnsi="宋体" w:eastAsia="宋体" w:cs="宋体"/>
          <w:sz w:val="21"/>
          <w:szCs w:val="21"/>
        </w:rPr>
        <w:t>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0"/>
        <w:tabs>
          <w:tab w:val="right" w:leader="dot" w:pos="9354"/>
        </w:tabs>
        <w:rPr>
          <w:rFonts w:hint="eastAsia" w:ascii="宋体" w:hAnsi="宋体" w:eastAsia="宋体" w:cs="宋体"/>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_Toc5591 </w:instrText>
      </w:r>
      <w:r>
        <w:rPr>
          <w:rFonts w:hint="eastAsia" w:ascii="宋体" w:hAnsi="宋体" w:eastAsia="宋体" w:cs="宋体"/>
          <w:sz w:val="21"/>
          <w:szCs w:val="21"/>
        </w:rPr>
        <w:fldChar w:fldCharType="separate"/>
      </w:r>
      <w:r>
        <w:rPr>
          <w:rFonts w:hint="eastAsia" w:hAnsi="宋体" w:cs="宋体"/>
          <w:sz w:val="21"/>
          <w:szCs w:val="21"/>
          <w:lang w:val="en-US" w:eastAsia="zh-CN"/>
        </w:rPr>
        <w:t>参考文献</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_Toc5591 \h </w:instrText>
      </w:r>
      <w:r>
        <w:rPr>
          <w:rFonts w:hint="eastAsia" w:ascii="宋体" w:hAnsi="宋体" w:eastAsia="宋体" w:cs="宋体"/>
          <w:sz w:val="21"/>
          <w:szCs w:val="21"/>
        </w:rPr>
        <w:fldChar w:fldCharType="separate"/>
      </w:r>
      <w:r>
        <w:rPr>
          <w:rFonts w:hint="eastAsia" w:ascii="宋体" w:hAnsi="宋体" w:eastAsia="宋体" w:cs="宋体"/>
          <w:sz w:val="21"/>
          <w:szCs w:val="21"/>
        </w:rPr>
        <w:t>9</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92"/>
        <w:spacing w:after="468"/>
        <w:sectPr>
          <w:headerReference r:id="rId9" w:type="default"/>
          <w:footerReference r:id="rId11" w:type="default"/>
          <w:headerReference r:id="rId10" w:type="even"/>
          <w:footerReference r:id="rId12" w:type="even"/>
          <w:pgSz w:w="11906" w:h="16838"/>
          <w:pgMar w:top="1928" w:right="1134" w:bottom="1134" w:left="1134" w:header="1418" w:footer="1134" w:gutter="284"/>
          <w:pgNumType w:fmt="upperRoman" w:start="1"/>
          <w:cols w:space="425" w:num="1"/>
          <w:formProt w:val="0"/>
          <w:docGrid w:type="lines" w:linePitch="312" w:charSpace="0"/>
        </w:sectPr>
      </w:pPr>
      <w:r>
        <w:rPr>
          <w:rFonts w:hint="eastAsia" w:ascii="宋体" w:hAnsi="宋体" w:eastAsia="宋体" w:cs="宋体"/>
        </w:rPr>
        <w:fldChar w:fldCharType="end"/>
      </w:r>
    </w:p>
    <w:bookmarkEnd w:id="17"/>
    <w:p>
      <w:pPr>
        <w:pStyle w:val="90"/>
        <w:spacing w:before="900" w:after="468"/>
      </w:pPr>
      <w:bookmarkStart w:id="18" w:name="_Toc17744"/>
      <w:bookmarkStart w:id="19" w:name="BookMark2"/>
      <w:r>
        <w:rPr>
          <w:spacing w:val="320"/>
        </w:rPr>
        <w:t>前</w:t>
      </w:r>
      <w:r>
        <w:t>言</w:t>
      </w:r>
      <w:bookmarkEnd w:id="18"/>
    </w:p>
    <w:p>
      <w:pPr>
        <w:pStyle w:val="57"/>
        <w:ind w:firstLine="420"/>
      </w:pPr>
      <w:r>
        <w:rPr>
          <w:rFonts w:hint="eastAsia"/>
        </w:rPr>
        <w:t>本文件按照GB/T 1.1—2020《标准化工作导则  第1部分：标准化文件的结构和起草规则》的规定起草。</w:t>
      </w:r>
    </w:p>
    <w:p>
      <w:pPr>
        <w:pStyle w:val="57"/>
        <w:ind w:firstLine="420"/>
        <w:rPr>
          <w:rFonts w:hint="eastAsia"/>
        </w:rPr>
      </w:pPr>
      <w:r>
        <w:rPr>
          <w:rFonts w:hint="eastAsia"/>
        </w:rPr>
        <w:t>本文件由上海市市场监督管理局提出并归口。</w:t>
      </w:r>
    </w:p>
    <w:p>
      <w:pPr>
        <w:pStyle w:val="57"/>
        <w:ind w:firstLine="420"/>
        <w:rPr>
          <w:rFonts w:hint="eastAsia"/>
        </w:rPr>
      </w:pPr>
      <w:r>
        <w:rPr>
          <w:rFonts w:hint="eastAsia"/>
        </w:rPr>
        <w:t>本文件起草单位：××××</w:t>
      </w:r>
    </w:p>
    <w:p>
      <w:pPr>
        <w:pStyle w:val="57"/>
        <w:ind w:firstLine="420"/>
        <w:rPr>
          <w:rFonts w:hint="eastAsia"/>
        </w:rPr>
      </w:pPr>
      <w:r>
        <w:rPr>
          <w:rFonts w:hint="eastAsia"/>
        </w:rPr>
        <w:t>本文件主要起草人：××××</w:t>
      </w:r>
    </w:p>
    <w:p>
      <w:pPr>
        <w:pStyle w:val="57"/>
        <w:ind w:firstLine="420"/>
        <w:rPr>
          <w:rFonts w:hint="eastAsia" w:eastAsia="宋体"/>
          <w:lang w:val="en-US" w:eastAsia="zh-CN"/>
        </w:rPr>
      </w:pPr>
      <w:r>
        <w:rPr>
          <w:rFonts w:hint="eastAsia"/>
        </w:rPr>
        <w:t>本文件为首次发布</w:t>
      </w:r>
      <w:r>
        <w:rPr>
          <w:rFonts w:hint="eastAsia"/>
          <w:lang w:eastAsia="zh-CN"/>
        </w:rPr>
        <w:t>。</w:t>
      </w:r>
    </w:p>
    <w:p>
      <w:pPr>
        <w:pStyle w:val="57"/>
        <w:ind w:firstLine="420"/>
      </w:pPr>
    </w:p>
    <w:p>
      <w:pPr>
        <w:pStyle w:val="57"/>
        <w:ind w:firstLine="420"/>
        <w:sectPr>
          <w:headerReference r:id="rId13" w:type="default"/>
          <w:footerReference r:id="rId15" w:type="default"/>
          <w:headerReference r:id="rId14" w:type="even"/>
          <w:footerReference r:id="rId16" w:type="even"/>
          <w:pgSz w:w="11906" w:h="16838"/>
          <w:pgMar w:top="1928" w:right="1134" w:bottom="1134" w:left="1134" w:header="1418" w:footer="1134" w:gutter="284"/>
          <w:pgNumType w:fmt="upperRoman"/>
          <w:cols w:space="425" w:num="1"/>
          <w:formProt w:val="0"/>
          <w:docGrid w:type="lines" w:linePitch="312" w:charSpace="0"/>
        </w:sectPr>
      </w:pPr>
    </w:p>
    <w:bookmarkEnd w:id="19"/>
    <w:p>
      <w:pPr>
        <w:spacing w:line="20" w:lineRule="exact"/>
        <w:jc w:val="center"/>
        <w:rPr>
          <w:rFonts w:ascii="黑体" w:hAnsi="黑体" w:eastAsia="黑体"/>
          <w:sz w:val="32"/>
          <w:szCs w:val="32"/>
        </w:rPr>
      </w:pPr>
      <w:bookmarkStart w:id="20" w:name="BookMark4"/>
    </w:p>
    <w:p>
      <w:pPr>
        <w:spacing w:line="20" w:lineRule="exact"/>
        <w:jc w:val="center"/>
        <w:rPr>
          <w:rFonts w:ascii="黑体" w:hAnsi="黑体" w:eastAsia="黑体"/>
          <w:sz w:val="32"/>
          <w:szCs w:val="32"/>
        </w:rPr>
      </w:pPr>
    </w:p>
    <w:sdt>
      <w:sdtPr>
        <w:tag w:val="NEW_STAND_NAME"/>
        <w:id w:val="595910757"/>
        <w:lock w:val="sdtLocked"/>
        <w:placeholder>
          <w:docPart w:val="50D04DFA532D4A61AD0052E82658E6C0"/>
        </w:placeholder>
      </w:sdtPr>
      <w:sdtContent>
        <w:p>
          <w:pPr>
            <w:pStyle w:val="178"/>
            <w:spacing w:before="3" w:beforeLines="1" w:after="686" w:afterLines="220"/>
          </w:pPr>
          <w:bookmarkStart w:id="21" w:name="NEW_STAND_NAME"/>
          <w:r>
            <w:rPr>
              <w:rFonts w:hint="eastAsia"/>
              <w:lang w:val="en-US" w:eastAsia="zh-CN"/>
            </w:rPr>
            <w:t>食品安全抽样工作规范</w:t>
          </w:r>
        </w:p>
      </w:sdtContent>
    </w:sdt>
    <w:bookmarkEnd w:id="21"/>
    <w:p>
      <w:pPr>
        <w:pStyle w:val="105"/>
        <w:spacing w:before="312" w:after="312"/>
      </w:pPr>
      <w:bookmarkStart w:id="22" w:name="_Toc24884211"/>
      <w:bookmarkStart w:id="23" w:name="_Toc1476"/>
      <w:bookmarkStart w:id="24" w:name="_Toc24884218"/>
      <w:bookmarkStart w:id="25" w:name="_Toc26986771"/>
      <w:bookmarkStart w:id="26" w:name="_Toc26986530"/>
      <w:bookmarkStart w:id="27" w:name="_Toc17233325"/>
      <w:bookmarkStart w:id="28" w:name="_Toc17233333"/>
      <w:bookmarkStart w:id="29" w:name="_Toc26648465"/>
      <w:bookmarkStart w:id="30" w:name="_Toc97191423"/>
      <w:bookmarkStart w:id="31" w:name="_Toc26718930"/>
      <w:r>
        <w:rPr>
          <w:rFonts w:hint="eastAsia"/>
        </w:rPr>
        <w:t>范围</w:t>
      </w:r>
      <w:bookmarkEnd w:id="22"/>
      <w:bookmarkEnd w:id="23"/>
      <w:bookmarkEnd w:id="24"/>
      <w:bookmarkEnd w:id="25"/>
      <w:bookmarkEnd w:id="26"/>
      <w:bookmarkEnd w:id="27"/>
      <w:bookmarkEnd w:id="28"/>
      <w:bookmarkEnd w:id="29"/>
      <w:bookmarkEnd w:id="30"/>
      <w:bookmarkEnd w:id="31"/>
    </w:p>
    <w:p>
      <w:pPr>
        <w:pStyle w:val="57"/>
        <w:ind w:firstLine="420"/>
        <w:rPr>
          <w:color w:val="auto"/>
        </w:rPr>
      </w:pPr>
      <w:bookmarkStart w:id="32" w:name="_Toc17233334"/>
      <w:bookmarkStart w:id="33" w:name="_Toc24884219"/>
      <w:bookmarkStart w:id="34" w:name="_Toc26648466"/>
      <w:bookmarkStart w:id="35" w:name="_Toc17233326"/>
      <w:bookmarkStart w:id="36" w:name="_Toc24884212"/>
      <w:r>
        <w:rPr>
          <w:rFonts w:hint="eastAsia"/>
          <w:color w:val="auto"/>
        </w:rPr>
        <w:t>本文件规定了食品安全抽检监测工作的术语和定义、抽样原则、抽样流程、信息记录保存、样品的保存和处置等内容。</w:t>
      </w:r>
    </w:p>
    <w:p>
      <w:pPr>
        <w:pStyle w:val="57"/>
        <w:ind w:firstLine="420"/>
        <w:rPr>
          <w:color w:val="auto"/>
        </w:rPr>
      </w:pPr>
      <w:r>
        <w:rPr>
          <w:rFonts w:hint="eastAsia"/>
          <w:color w:val="auto"/>
        </w:rPr>
        <w:t>本文件适用于上海市市场监督管理部门组织实施的食品安全监督抽检、评价性抽检、风险监测的抽样工作。</w:t>
      </w:r>
    </w:p>
    <w:p>
      <w:pPr>
        <w:pStyle w:val="105"/>
        <w:spacing w:before="312" w:after="312"/>
        <w:rPr>
          <w:color w:val="auto"/>
        </w:rPr>
      </w:pPr>
      <w:bookmarkStart w:id="37" w:name="_Toc26986772"/>
      <w:bookmarkStart w:id="38" w:name="_Toc26986531"/>
      <w:bookmarkStart w:id="39" w:name="_Toc97191424"/>
      <w:bookmarkStart w:id="40" w:name="_Toc26718931"/>
      <w:bookmarkStart w:id="41" w:name="_Toc31001"/>
      <w:r>
        <w:rPr>
          <w:rFonts w:hint="eastAsia"/>
          <w:color w:val="auto"/>
        </w:rPr>
        <w:t>规范性引用文件</w:t>
      </w:r>
      <w:bookmarkEnd w:id="32"/>
      <w:bookmarkEnd w:id="33"/>
      <w:bookmarkEnd w:id="34"/>
      <w:bookmarkEnd w:id="35"/>
      <w:bookmarkEnd w:id="36"/>
      <w:bookmarkEnd w:id="37"/>
      <w:bookmarkEnd w:id="38"/>
      <w:bookmarkEnd w:id="39"/>
      <w:bookmarkEnd w:id="40"/>
      <w:bookmarkEnd w:id="41"/>
    </w:p>
    <w:sdt>
      <w:sdtPr>
        <w:rPr>
          <w:rFonts w:hint="eastAsia"/>
          <w:color w:val="auto"/>
        </w:rPr>
        <w:id w:val="715848253"/>
        <w:placeholder>
          <w:docPart w:val="83C9EC62F113458F8A7B2BE51D791BF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default" w:ascii="Times New Roman" w:hAnsi="Times New Roman" w:cs="Times New Roman"/>
          <w:color w:val="auto"/>
        </w:rPr>
      </w:sdtEndPr>
      <w:sdtContent>
        <w:p>
          <w:pPr>
            <w:pStyle w:val="57"/>
            <w:ind w:firstLine="420"/>
            <w:rPr>
              <w:rFonts w:hint="default" w:ascii="Times New Roman" w:hAnsi="Times New Roman" w:cs="Times New Roman"/>
              <w:color w:val="auto"/>
              <w:highlight w:val="none"/>
            </w:rPr>
          </w:pPr>
          <w:r>
            <w:rPr>
              <w:rFonts w:hint="eastAsia"/>
              <w:color w:val="auto"/>
            </w:rPr>
            <w:t>下列文件中的内容通过文中的规范性引用而构成本文件必不可少的条款。其中，注日期的引用文件，仅该日期对应的版本适用于本文件；不注日期的引用文件，其最新版本（包括所有的修改单）适用于本文</w:t>
          </w:r>
          <w:r>
            <w:rPr>
              <w:rFonts w:hint="default" w:ascii="Times New Roman" w:hAnsi="Times New Roman" w:cs="Times New Roman"/>
              <w:color w:val="auto"/>
            </w:rPr>
            <w:t>件。</w:t>
          </w:r>
        </w:p>
      </w:sdtContent>
    </w:sdt>
    <w:p>
      <w:pPr>
        <w:pStyle w:val="57"/>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GB 4789.1 食品安全国家标准 食品微生物学检验 总则</w:t>
      </w:r>
    </w:p>
    <w:p>
      <w:pPr>
        <w:pStyle w:val="57"/>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GB 14934 食品安全国家标准 消毒餐（饮）具</w:t>
      </w:r>
    </w:p>
    <w:p>
      <w:pPr>
        <w:pStyle w:val="105"/>
        <w:spacing w:before="312" w:after="312"/>
        <w:rPr>
          <w:color w:val="auto"/>
        </w:rPr>
      </w:pPr>
      <w:bookmarkStart w:id="42" w:name="_Toc14651"/>
      <w:bookmarkStart w:id="43" w:name="_Toc97191425"/>
      <w:r>
        <w:rPr>
          <w:rFonts w:hint="eastAsia"/>
          <w:color w:val="auto"/>
          <w:szCs w:val="21"/>
        </w:rPr>
        <w:t>术语和定义</w:t>
      </w:r>
      <w:bookmarkEnd w:id="42"/>
      <w:bookmarkEnd w:id="43"/>
    </w:p>
    <w:sdt>
      <w:sdtPr>
        <w:rPr>
          <w:color w:val="auto"/>
        </w:rPr>
        <w:id w:val="-1909835108"/>
        <w:placeholder>
          <w:docPart w:val="6843016703E54048A1EEC69E5325B335"/>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color w:val="auto"/>
        </w:rPr>
      </w:sdtEndPr>
      <w:sdtContent>
        <w:p>
          <w:pPr>
            <w:pStyle w:val="57"/>
            <w:ind w:firstLine="420"/>
            <w:rPr>
              <w:color w:val="auto"/>
            </w:rPr>
          </w:pPr>
          <w:bookmarkStart w:id="44" w:name="_Toc26986532"/>
          <w:bookmarkEnd w:id="44"/>
          <w:r>
            <w:rPr>
              <w:color w:val="auto"/>
            </w:rPr>
            <w:t>下列术语和定义适用于本文件。</w:t>
          </w:r>
        </w:p>
      </w:sdtContent>
    </w:sdt>
    <w:p>
      <w:pPr>
        <w:pStyle w:val="106"/>
        <w:spacing w:before="156" w:after="156"/>
        <w:rPr>
          <w:color w:val="auto"/>
        </w:rPr>
      </w:pPr>
      <w:bookmarkStart w:id="45" w:name="_Toc27436"/>
      <w:bookmarkEnd w:id="45"/>
      <w:bookmarkStart w:id="46" w:name="_Toc16872"/>
      <w:bookmarkEnd w:id="46"/>
      <w:bookmarkStart w:id="47" w:name="_Toc9586"/>
      <w:bookmarkEnd w:id="47"/>
    </w:p>
    <w:p>
      <w:pPr>
        <w:pStyle w:val="231"/>
        <w:ind w:left="420" w:firstLine="0" w:firstLineChars="0"/>
        <w:rPr>
          <w:rFonts w:hint="default" w:ascii="黑体" w:hAnsi="黑体" w:eastAsia="黑体"/>
          <w:color w:val="auto"/>
          <w:lang w:val="en-US" w:eastAsia="zh-CN"/>
        </w:rPr>
      </w:pPr>
      <w:r>
        <w:rPr>
          <w:rFonts w:hint="eastAsia" w:ascii="黑体" w:hAnsi="黑体" w:eastAsia="黑体"/>
          <w:color w:val="auto"/>
          <w:lang w:val="en-US" w:eastAsia="zh-CN"/>
        </w:rPr>
        <w:t>抽样</w:t>
      </w:r>
    </w:p>
    <w:p>
      <w:pPr>
        <w:pStyle w:val="231"/>
        <w:rPr>
          <w:rFonts w:hAnsi="宋体"/>
          <w:color w:val="auto"/>
        </w:rPr>
      </w:pPr>
      <w:r>
        <w:rPr>
          <w:rFonts w:hint="eastAsia" w:hAnsi="宋体"/>
          <w:color w:val="auto"/>
        </w:rPr>
        <w:t>按照法定程序和食品安全标准等规定，对食品生产经营者生产经营的食品进行抽取的行为。</w:t>
      </w:r>
    </w:p>
    <w:p>
      <w:pPr>
        <w:pStyle w:val="106"/>
        <w:spacing w:before="156" w:after="156"/>
        <w:rPr>
          <w:color w:val="auto"/>
        </w:rPr>
      </w:pPr>
      <w:bookmarkStart w:id="48" w:name="_Toc27430"/>
      <w:bookmarkEnd w:id="48"/>
      <w:bookmarkStart w:id="49" w:name="_Toc12136"/>
      <w:bookmarkEnd w:id="49"/>
      <w:bookmarkStart w:id="50" w:name="_Toc18009"/>
      <w:bookmarkEnd w:id="50"/>
    </w:p>
    <w:p>
      <w:pPr>
        <w:pStyle w:val="231"/>
        <w:ind w:left="420" w:firstLine="0" w:firstLineChars="0"/>
        <w:rPr>
          <w:rFonts w:hint="eastAsia" w:ascii="黑体" w:hAnsi="黑体" w:eastAsia="黑体"/>
          <w:color w:val="auto"/>
          <w:highlight w:val="yellow"/>
        </w:rPr>
      </w:pPr>
      <w:r>
        <w:rPr>
          <w:rFonts w:hint="eastAsia" w:ascii="黑体" w:hAnsi="黑体" w:eastAsia="黑体"/>
          <w:color w:val="auto"/>
          <w:lang w:val="en-US" w:eastAsia="zh-CN"/>
        </w:rPr>
        <w:t>抽样单位</w:t>
      </w:r>
    </w:p>
    <w:p>
      <w:pPr>
        <w:pStyle w:val="231"/>
        <w:rPr>
          <w:rFonts w:hint="default" w:hAnsi="宋体" w:eastAsia="宋体" w:cs="Times New Roman"/>
          <w:color w:val="auto"/>
          <w:highlight w:val="none"/>
          <w:lang w:val="en-US" w:eastAsia="zh-CN"/>
        </w:rPr>
      </w:pPr>
      <w:r>
        <w:rPr>
          <w:rFonts w:hint="eastAsia" w:hAnsi="宋体" w:cs="Times New Roman"/>
          <w:color w:val="auto"/>
          <w:highlight w:val="none"/>
          <w:lang w:val="en-US" w:eastAsia="zh-CN"/>
        </w:rPr>
        <w:t>由组织实施抽样检验工作的市场监管部门根据有关食品安全法律法规的要求确定，承担食品安全抽样任务的监管部门或机构。</w:t>
      </w:r>
    </w:p>
    <w:p>
      <w:pPr>
        <w:pStyle w:val="106"/>
        <w:spacing w:before="156" w:after="156"/>
        <w:rPr>
          <w:color w:val="auto"/>
        </w:rPr>
      </w:pPr>
      <w:bookmarkStart w:id="51" w:name="_Toc8380"/>
      <w:bookmarkEnd w:id="51"/>
      <w:bookmarkStart w:id="52" w:name="_Toc12429"/>
      <w:bookmarkEnd w:id="52"/>
      <w:bookmarkStart w:id="53" w:name="_Toc14040"/>
      <w:bookmarkEnd w:id="53"/>
    </w:p>
    <w:p>
      <w:pPr>
        <w:pStyle w:val="231"/>
        <w:ind w:left="420" w:firstLine="0" w:firstLineChars="0"/>
        <w:rPr>
          <w:rFonts w:hint="eastAsia" w:ascii="黑体" w:hAnsi="黑体" w:eastAsia="黑体"/>
          <w:color w:val="auto"/>
          <w:highlight w:val="none"/>
        </w:rPr>
      </w:pPr>
      <w:r>
        <w:rPr>
          <w:rFonts w:hint="eastAsia" w:ascii="黑体" w:hAnsi="黑体" w:eastAsia="黑体"/>
          <w:color w:val="auto"/>
          <w:highlight w:val="none"/>
          <w:lang w:val="en-US" w:eastAsia="zh-CN"/>
        </w:rPr>
        <w:t>承检机构</w:t>
      </w:r>
    </w:p>
    <w:p>
      <w:pPr>
        <w:pStyle w:val="231"/>
        <w:rPr>
          <w:rFonts w:hAnsi="宋体"/>
          <w:strike/>
          <w:dstrike w:val="0"/>
          <w:color w:val="FF0000"/>
          <w:highlight w:val="none"/>
        </w:rPr>
      </w:pPr>
      <w:r>
        <w:rPr>
          <w:rFonts w:hint="eastAsia" w:hAnsi="宋体"/>
          <w:color w:val="auto"/>
          <w:highlight w:val="none"/>
        </w:rPr>
        <w:t>获得检验资质认定的机构，具备与承检任务中食品品种、检</w:t>
      </w:r>
      <w:r>
        <w:rPr>
          <w:rFonts w:hint="eastAsia" w:hAnsi="宋体"/>
          <w:color w:val="auto"/>
          <w:highlight w:val="none"/>
          <w:lang w:val="en-US" w:eastAsia="zh-CN"/>
        </w:rPr>
        <w:t>验</w:t>
      </w:r>
      <w:r>
        <w:rPr>
          <w:rFonts w:hint="eastAsia" w:hAnsi="宋体"/>
          <w:color w:val="auto"/>
          <w:highlight w:val="none"/>
        </w:rPr>
        <w:t>项目、检</w:t>
      </w:r>
      <w:r>
        <w:rPr>
          <w:rFonts w:hint="eastAsia" w:hAnsi="宋体"/>
          <w:color w:val="auto"/>
          <w:highlight w:val="none"/>
          <w:lang w:val="en-US" w:eastAsia="zh-CN"/>
        </w:rPr>
        <w:t>验样品</w:t>
      </w:r>
      <w:r>
        <w:rPr>
          <w:rFonts w:hint="eastAsia" w:hAnsi="宋体"/>
          <w:color w:val="auto"/>
          <w:highlight w:val="none"/>
        </w:rPr>
        <w:t>数量相适应的检验能力，</w:t>
      </w:r>
      <w:r>
        <w:rPr>
          <w:rFonts w:hint="eastAsia" w:hAnsi="宋体"/>
          <w:color w:val="auto"/>
          <w:highlight w:val="none"/>
          <w:lang w:val="en-US" w:eastAsia="zh-CN"/>
        </w:rPr>
        <w:t>由组织实施抽样检验工作的市场监管部门确定的机构。</w:t>
      </w:r>
    </w:p>
    <w:p>
      <w:pPr>
        <w:pStyle w:val="106"/>
        <w:spacing w:before="156" w:after="156"/>
        <w:rPr>
          <w:color w:val="auto"/>
        </w:rPr>
      </w:pPr>
      <w:bookmarkStart w:id="54" w:name="_Toc32663"/>
      <w:bookmarkEnd w:id="54"/>
      <w:bookmarkStart w:id="55" w:name="_Toc21128"/>
      <w:bookmarkEnd w:id="55"/>
      <w:bookmarkStart w:id="56" w:name="_Toc27402"/>
      <w:bookmarkEnd w:id="56"/>
    </w:p>
    <w:p>
      <w:pPr>
        <w:pStyle w:val="231"/>
        <w:ind w:left="420" w:firstLine="0" w:firstLineChars="0"/>
        <w:rPr>
          <w:rFonts w:hint="eastAsia" w:ascii="黑体" w:hAnsi="黑体" w:eastAsia="黑体"/>
          <w:color w:val="auto"/>
        </w:rPr>
      </w:pPr>
      <w:r>
        <w:rPr>
          <w:rFonts w:hint="eastAsia" w:ascii="黑体" w:hAnsi="黑体" w:eastAsia="黑体"/>
          <w:color w:val="auto"/>
          <w:lang w:val="en-US" w:eastAsia="zh-CN"/>
        </w:rPr>
        <w:t>食品安全抽检监测</w:t>
      </w:r>
    </w:p>
    <w:p>
      <w:pPr>
        <w:pStyle w:val="231"/>
        <w:rPr>
          <w:rFonts w:hAnsi="宋体"/>
          <w:color w:val="auto"/>
          <w:highlight w:val="none"/>
        </w:rPr>
      </w:pPr>
      <w:r>
        <w:rPr>
          <w:rFonts w:hint="eastAsia" w:hAnsi="宋体"/>
          <w:color w:val="auto"/>
          <w:highlight w:val="none"/>
        </w:rPr>
        <w:t>食品安全抽检监测包括监督抽检、评价性抽检及风险监测。监督抽检是指市场监督管理部门按照法定程序和食品安全标准等规定，以排查风险为目的，对食品组织的抽样、检验、复检、处理等活动。评价性抽检是指市场监督管理部门依据法定程序和食品安全标准等规定开展抽样检验，对市场上食品总体</w:t>
      </w:r>
      <w:r>
        <w:rPr>
          <w:rFonts w:hint="eastAsia" w:hAnsi="宋体"/>
          <w:color w:val="auto"/>
          <w:highlight w:val="none"/>
          <w:lang w:val="en-US" w:eastAsia="zh-CN"/>
        </w:rPr>
        <w:t xml:space="preserve">      </w:t>
      </w:r>
      <w:r>
        <w:rPr>
          <w:rFonts w:hint="eastAsia" w:hAnsi="宋体"/>
          <w:color w:val="auto"/>
          <w:highlight w:val="none"/>
        </w:rPr>
        <w:t>安全状况进行评估的活动。风险监测是指市场监督管理部门对没有食品安全标准的风险因素，开展监测、分析、处理的活动。</w:t>
      </w:r>
    </w:p>
    <w:p>
      <w:pPr>
        <w:pStyle w:val="105"/>
        <w:spacing w:before="312" w:after="312"/>
        <w:rPr>
          <w:color w:val="auto"/>
        </w:rPr>
      </w:pPr>
      <w:bookmarkStart w:id="57" w:name="_Toc13631"/>
      <w:r>
        <w:rPr>
          <w:rFonts w:hint="eastAsia"/>
          <w:color w:val="auto"/>
          <w:lang w:val="en-US" w:eastAsia="zh-CN"/>
        </w:rPr>
        <w:t>抽样</w:t>
      </w:r>
      <w:bookmarkEnd w:id="57"/>
    </w:p>
    <w:p>
      <w:pPr>
        <w:pStyle w:val="106"/>
        <w:spacing w:before="156" w:after="156"/>
        <w:rPr>
          <w:color w:val="auto"/>
        </w:rPr>
      </w:pPr>
      <w:bookmarkStart w:id="58" w:name="_Toc13266"/>
      <w:r>
        <w:rPr>
          <w:rFonts w:hint="eastAsia"/>
          <w:color w:val="auto"/>
          <w:lang w:val="en-US" w:eastAsia="zh-CN"/>
        </w:rPr>
        <w:t>抽样原则</w:t>
      </w:r>
      <w:bookmarkEnd w:id="58"/>
    </w:p>
    <w:p>
      <w:pPr>
        <w:pStyle w:val="231"/>
        <w:rPr>
          <w:color w:val="auto"/>
        </w:rPr>
      </w:pPr>
      <w:r>
        <w:rPr>
          <w:rFonts w:hint="eastAsia"/>
          <w:color w:val="auto"/>
          <w:lang w:val="en-US" w:eastAsia="zh-CN"/>
        </w:rPr>
        <w:t>食品安全抽样工作应当遵循如下原则</w:t>
      </w:r>
      <w:r>
        <w:rPr>
          <w:rFonts w:hint="eastAsia"/>
          <w:color w:val="auto"/>
        </w:rPr>
        <w:t>：</w:t>
      </w:r>
    </w:p>
    <w:p>
      <w:pPr>
        <w:pStyle w:val="239"/>
        <w:numPr>
          <w:ilvl w:val="0"/>
          <w:numId w:val="33"/>
        </w:numPr>
        <w:tabs>
          <w:tab w:val="left" w:pos="851"/>
        </w:tabs>
        <w:ind w:left="839" w:hanging="419"/>
        <w:rPr>
          <w:color w:val="auto"/>
          <w:highlight w:val="none"/>
        </w:rPr>
      </w:pPr>
      <w:r>
        <w:rPr>
          <w:rFonts w:hint="eastAsia"/>
          <w:color w:val="auto"/>
          <w:highlight w:val="none"/>
        </w:rPr>
        <w:t>食品安全抽样工作应当遵守随机选取抽样对象</w:t>
      </w:r>
      <w:r>
        <w:rPr>
          <w:rFonts w:hint="eastAsia"/>
          <w:color w:val="auto"/>
          <w:highlight w:val="none"/>
          <w:lang w:eastAsia="zh-CN"/>
        </w:rPr>
        <w:t>、</w:t>
      </w:r>
      <w:r>
        <w:rPr>
          <w:rFonts w:hint="eastAsia"/>
          <w:color w:val="auto"/>
          <w:highlight w:val="none"/>
        </w:rPr>
        <w:t>随机确定抽样人员的要求</w:t>
      </w:r>
      <w:r>
        <w:rPr>
          <w:rFonts w:hint="eastAsia"/>
          <w:color w:val="auto"/>
          <w:highlight w:val="none"/>
          <w:lang w:eastAsia="zh-CN"/>
        </w:rPr>
        <w:t>。</w:t>
      </w:r>
      <w:r>
        <w:rPr>
          <w:rFonts w:hint="eastAsia"/>
          <w:color w:val="auto"/>
          <w:highlight w:val="none"/>
        </w:rPr>
        <w:t>评价性抽检应以代表性为原则，以反映地区、行业和食品类别客观安全水平为目标采集样品。除评价性抽检以外的其它抽检监测应以问题为导向，有针对性地采集可能存在食品安全问题和安全隐患的样品</w:t>
      </w:r>
      <w:r>
        <w:rPr>
          <w:rFonts w:hint="eastAsia"/>
          <w:color w:val="auto"/>
          <w:highlight w:val="none"/>
          <w:lang w:eastAsia="zh-CN"/>
        </w:rPr>
        <w:t>；</w:t>
      </w:r>
    </w:p>
    <w:p>
      <w:pPr>
        <w:pStyle w:val="239"/>
        <w:numPr>
          <w:ilvl w:val="0"/>
          <w:numId w:val="13"/>
        </w:numPr>
        <w:ind w:left="839" w:hanging="419"/>
        <w:rPr>
          <w:color w:val="auto"/>
          <w:highlight w:val="none"/>
        </w:rPr>
      </w:pPr>
      <w:r>
        <w:rPr>
          <w:rFonts w:hint="eastAsia"/>
          <w:color w:val="auto"/>
          <w:highlight w:val="none"/>
        </w:rPr>
        <w:t>承担食品安全抽样检验任务的抽样单位和相关人员不得提前通知被抽样食品生产经营者（包括进口商品在中国依法登记注册的代理商、进口商或经销商，以及网络食品交易经营者）；</w:t>
      </w:r>
    </w:p>
    <w:p>
      <w:pPr>
        <w:pStyle w:val="239"/>
        <w:numPr>
          <w:ilvl w:val="0"/>
          <w:numId w:val="13"/>
        </w:numPr>
        <w:ind w:left="839" w:hanging="419"/>
        <w:rPr>
          <w:color w:val="auto"/>
        </w:rPr>
      </w:pPr>
      <w:r>
        <w:rPr>
          <w:rFonts w:hint="eastAsia"/>
          <w:color w:val="auto"/>
          <w:highlight w:val="none"/>
        </w:rPr>
        <w:t>抽样人员执行抽样任务时不得少于两人</w:t>
      </w:r>
      <w:r>
        <w:rPr>
          <w:rFonts w:hint="eastAsia"/>
          <w:color w:val="auto"/>
          <w:highlight w:val="none"/>
          <w:lang w:eastAsia="zh-CN"/>
        </w:rPr>
        <w:t>。</w:t>
      </w:r>
      <w:r>
        <w:rPr>
          <w:rFonts w:hint="eastAsia"/>
          <w:color w:val="auto"/>
          <w:highlight w:val="none"/>
        </w:rPr>
        <w:t>在集中交易市场、商场、超市、便利</w:t>
      </w:r>
      <w:r>
        <w:rPr>
          <w:rFonts w:hint="eastAsia"/>
          <w:color w:val="auto"/>
        </w:rPr>
        <w:t>店等销售场所开展的食用农产品监督抽检工作，委托抽样的应当不少于两名监管人员参与抽样</w:t>
      </w:r>
      <w:r>
        <w:rPr>
          <w:rFonts w:hint="eastAsia"/>
          <w:color w:val="auto"/>
          <w:lang w:eastAsia="zh-CN"/>
        </w:rPr>
        <w:t>。</w:t>
      </w:r>
    </w:p>
    <w:p>
      <w:pPr>
        <w:pStyle w:val="106"/>
        <w:spacing w:before="156" w:after="156"/>
        <w:rPr>
          <w:color w:val="auto"/>
        </w:rPr>
      </w:pPr>
      <w:bookmarkStart w:id="59" w:name="_Toc484"/>
      <w:r>
        <w:rPr>
          <w:rFonts w:hint="eastAsia"/>
          <w:color w:val="auto"/>
          <w:lang w:val="en-US" w:eastAsia="zh-CN"/>
        </w:rPr>
        <w:t>抽样单位的确定</w:t>
      </w:r>
      <w:bookmarkEnd w:id="59"/>
    </w:p>
    <w:p>
      <w:pPr>
        <w:pStyle w:val="231"/>
        <w:rPr>
          <w:rFonts w:hint="eastAsia"/>
          <w:color w:val="auto"/>
        </w:rPr>
      </w:pPr>
      <w:r>
        <w:rPr>
          <w:rFonts w:hint="eastAsia"/>
          <w:color w:val="auto"/>
        </w:rPr>
        <w:t>抽样单位由组织实施抽样检验工作的市场监管部门根据有关食品安全法律法规要求确定，可以由市场监管部门自行抽样或者委托承检机构抽样。</w:t>
      </w:r>
    </w:p>
    <w:p>
      <w:pPr>
        <w:pStyle w:val="231"/>
        <w:keepNext w:val="0"/>
        <w:keepLines w:val="0"/>
        <w:pageBreakBefore w:val="0"/>
        <w:widowControl/>
        <w:kinsoku/>
        <w:wordWrap/>
        <w:overflowPunct/>
        <w:topLinePunct w:val="0"/>
        <w:bidi w:val="0"/>
        <w:adjustRightInd/>
        <w:snapToGrid/>
        <w:textAlignment w:val="auto"/>
        <w:rPr>
          <w:color w:val="auto"/>
        </w:rPr>
      </w:pPr>
      <w:r>
        <w:rPr>
          <w:rFonts w:hint="eastAsia"/>
          <w:color w:val="auto"/>
        </w:rPr>
        <w:t>委托抽样的，各级市场监管部门应积极支持配合承检机构开展工作，在样品采集、陪同抽样、运输等方面提供必要的帮助。</w:t>
      </w:r>
    </w:p>
    <w:p>
      <w:pPr>
        <w:pStyle w:val="106"/>
        <w:spacing w:before="156" w:after="156"/>
        <w:rPr>
          <w:rFonts w:hint="eastAsia"/>
          <w:color w:val="auto"/>
          <w:lang w:val="en-US" w:eastAsia="zh-CN"/>
        </w:rPr>
      </w:pPr>
      <w:bookmarkStart w:id="60" w:name="_Toc16509"/>
      <w:r>
        <w:rPr>
          <w:rFonts w:hint="eastAsia"/>
          <w:color w:val="auto"/>
          <w:lang w:val="en-US" w:eastAsia="zh-CN"/>
        </w:rPr>
        <w:t>抽样前准备工作</w:t>
      </w:r>
      <w:bookmarkEnd w:id="60"/>
    </w:p>
    <w:p>
      <w:pPr>
        <w:pStyle w:val="66"/>
        <w:spacing w:before="156" w:after="156"/>
        <w:rPr>
          <w:rFonts w:hint="default" w:hAnsi="Times New Roman" w:cs="Times New Roman"/>
          <w:color w:val="auto"/>
          <w:lang w:val="en-US" w:eastAsia="zh-CN"/>
        </w:rPr>
      </w:pPr>
      <w:bookmarkStart w:id="61" w:name="_Toc17855"/>
      <w:bookmarkStart w:id="62" w:name="_Toc14268"/>
      <w:r>
        <w:rPr>
          <w:rFonts w:hint="eastAsia" w:hAnsi="Times New Roman" w:cs="Times New Roman"/>
          <w:color w:val="auto"/>
          <w:lang w:val="en-US" w:eastAsia="zh-CN"/>
        </w:rPr>
        <w:t>抽样制度</w:t>
      </w:r>
      <w:bookmarkEnd w:id="61"/>
      <w:bookmarkEnd w:id="62"/>
    </w:p>
    <w:p>
      <w:pPr>
        <w:pStyle w:val="231"/>
        <w:bidi w:val="0"/>
        <w:rPr>
          <w:rFonts w:hint="eastAsia"/>
          <w:color w:val="auto"/>
          <w:lang w:val="en-US" w:eastAsia="zh-CN"/>
        </w:rPr>
      </w:pPr>
      <w:r>
        <w:rPr>
          <w:rFonts w:hint="eastAsia"/>
          <w:color w:val="auto"/>
          <w:lang w:val="en-US" w:eastAsia="zh-CN"/>
        </w:rPr>
        <w:t>抽样单位应当建立食品抽样管理制度，明确工作纪律、岗位职责、抽样流程、</w:t>
      </w:r>
      <w:r>
        <w:rPr>
          <w:rFonts w:hint="eastAsia"/>
          <w:color w:val="auto"/>
          <w:lang w:eastAsia="zh-CN"/>
        </w:rPr>
        <w:t>“双随机”工作机制和工作记录，</w:t>
      </w:r>
      <w:r>
        <w:rPr>
          <w:rFonts w:hint="eastAsia"/>
          <w:color w:val="auto"/>
          <w:lang w:val="en-US" w:eastAsia="zh-CN"/>
        </w:rPr>
        <w:t>加强对抽样人员的培训和指导，保证抽样工作质量。</w:t>
      </w:r>
    </w:p>
    <w:p>
      <w:pPr>
        <w:pStyle w:val="66"/>
        <w:spacing w:before="156" w:after="156"/>
        <w:rPr>
          <w:rFonts w:hint="default" w:hAnsi="Times New Roman" w:cs="Times New Roman"/>
          <w:color w:val="auto"/>
          <w:lang w:val="en-US" w:eastAsia="zh-CN"/>
        </w:rPr>
      </w:pPr>
      <w:bookmarkStart w:id="63" w:name="_Toc28816"/>
      <w:bookmarkStart w:id="64" w:name="_Toc32512"/>
      <w:r>
        <w:rPr>
          <w:rFonts w:hint="eastAsia" w:hAnsi="Times New Roman" w:cs="Times New Roman"/>
          <w:color w:val="auto"/>
          <w:lang w:val="en-US" w:eastAsia="zh-CN"/>
        </w:rPr>
        <w:t>制定抽样方案</w:t>
      </w:r>
      <w:bookmarkEnd w:id="63"/>
      <w:bookmarkEnd w:id="64"/>
    </w:p>
    <w:p>
      <w:pPr>
        <w:pStyle w:val="231"/>
        <w:rPr>
          <w:color w:val="auto"/>
        </w:rPr>
      </w:pPr>
      <w:r>
        <w:rPr>
          <w:rFonts w:hint="eastAsia"/>
          <w:color w:val="auto"/>
          <w:lang w:val="en-US" w:eastAsia="zh-CN"/>
        </w:rPr>
        <w:t>抽样单位应当根据市场监督管理部门下达的食品安全抽检监测计划制定科学、合理的抽样实施方案。抽样实施方案包括以下内容</w:t>
      </w:r>
      <w:r>
        <w:rPr>
          <w:rFonts w:hint="eastAsia"/>
          <w:color w:val="auto"/>
        </w:rPr>
        <w:t>：</w:t>
      </w:r>
    </w:p>
    <w:p>
      <w:pPr>
        <w:pStyle w:val="239"/>
        <w:numPr>
          <w:ilvl w:val="0"/>
          <w:numId w:val="34"/>
        </w:numPr>
        <w:tabs>
          <w:tab w:val="left" w:pos="851"/>
        </w:tabs>
        <w:ind w:left="839" w:hanging="419"/>
        <w:rPr>
          <w:color w:val="auto"/>
        </w:rPr>
      </w:pPr>
      <w:r>
        <w:rPr>
          <w:rFonts w:hint="eastAsia"/>
          <w:color w:val="auto"/>
          <w:lang w:eastAsia="zh-CN"/>
        </w:rPr>
        <w:t>抽样区域和抽样环节；</w:t>
      </w:r>
    </w:p>
    <w:p>
      <w:pPr>
        <w:pStyle w:val="239"/>
        <w:numPr>
          <w:ilvl w:val="0"/>
          <w:numId w:val="13"/>
        </w:numPr>
        <w:ind w:left="839" w:hanging="419"/>
        <w:rPr>
          <w:color w:val="auto"/>
        </w:rPr>
      </w:pPr>
      <w:r>
        <w:rPr>
          <w:rFonts w:hint="eastAsia"/>
          <w:color w:val="auto"/>
        </w:rPr>
        <w:t>抽样批次和抽样数量；</w:t>
      </w:r>
    </w:p>
    <w:p>
      <w:pPr>
        <w:pStyle w:val="239"/>
        <w:numPr>
          <w:ilvl w:val="0"/>
          <w:numId w:val="13"/>
        </w:numPr>
        <w:ind w:left="839" w:hanging="419"/>
        <w:rPr>
          <w:color w:val="auto"/>
        </w:rPr>
      </w:pPr>
      <w:r>
        <w:rPr>
          <w:rFonts w:hint="eastAsia"/>
          <w:color w:val="auto"/>
        </w:rPr>
        <w:t>抽样时间和时限</w:t>
      </w:r>
      <w:r>
        <w:rPr>
          <w:rFonts w:hint="eastAsia"/>
          <w:color w:val="auto"/>
          <w:lang w:eastAsia="zh-CN"/>
        </w:rPr>
        <w:t>；</w:t>
      </w:r>
    </w:p>
    <w:p>
      <w:pPr>
        <w:pStyle w:val="239"/>
        <w:numPr>
          <w:ilvl w:val="0"/>
          <w:numId w:val="13"/>
        </w:numPr>
        <w:ind w:left="839" w:hanging="419"/>
        <w:rPr>
          <w:rFonts w:hint="eastAsia"/>
          <w:color w:val="auto"/>
          <w:lang w:val="en-US" w:eastAsia="zh-CN"/>
        </w:rPr>
      </w:pPr>
      <w:r>
        <w:rPr>
          <w:rFonts w:hint="eastAsia"/>
          <w:color w:val="auto"/>
          <w:lang w:val="en-US" w:eastAsia="zh-CN"/>
        </w:rPr>
        <w:t>抽样食品品种；</w:t>
      </w:r>
    </w:p>
    <w:p>
      <w:pPr>
        <w:pStyle w:val="239"/>
        <w:numPr>
          <w:ilvl w:val="0"/>
          <w:numId w:val="13"/>
        </w:numPr>
        <w:ind w:left="839" w:hanging="419"/>
        <w:rPr>
          <w:rFonts w:hint="default"/>
          <w:color w:val="auto"/>
          <w:lang w:val="en-US" w:eastAsia="zh-CN"/>
        </w:rPr>
      </w:pPr>
      <w:r>
        <w:rPr>
          <w:rFonts w:hint="eastAsia"/>
          <w:color w:val="auto"/>
          <w:lang w:val="en-US" w:eastAsia="zh-CN"/>
        </w:rPr>
        <w:t>样品运输以及储存条件；</w:t>
      </w:r>
    </w:p>
    <w:p>
      <w:pPr>
        <w:pStyle w:val="239"/>
        <w:numPr>
          <w:ilvl w:val="0"/>
          <w:numId w:val="13"/>
        </w:numPr>
        <w:ind w:left="839" w:hanging="419"/>
        <w:rPr>
          <w:rFonts w:hint="default"/>
          <w:color w:val="auto"/>
          <w:lang w:val="en-US" w:eastAsia="zh-CN"/>
        </w:rPr>
      </w:pPr>
      <w:r>
        <w:rPr>
          <w:rFonts w:hint="default"/>
          <w:color w:val="auto"/>
          <w:lang w:val="en-US" w:eastAsia="zh-CN"/>
        </w:rPr>
        <w:t>“双随机”工作相关要求</w:t>
      </w:r>
      <w:r>
        <w:rPr>
          <w:rFonts w:hint="eastAsia"/>
          <w:color w:val="auto"/>
          <w:lang w:val="en-US" w:eastAsia="zh-CN"/>
        </w:rPr>
        <w:t>；</w:t>
      </w:r>
    </w:p>
    <w:p>
      <w:pPr>
        <w:pStyle w:val="239"/>
        <w:numPr>
          <w:ilvl w:val="0"/>
          <w:numId w:val="13"/>
        </w:numPr>
        <w:ind w:left="839" w:hanging="419"/>
        <w:rPr>
          <w:color w:val="auto"/>
        </w:rPr>
      </w:pPr>
      <w:r>
        <w:rPr>
          <w:rFonts w:hint="eastAsia"/>
          <w:color w:val="auto"/>
          <w:lang w:val="en-US" w:eastAsia="zh-CN"/>
        </w:rPr>
        <w:t>其他抽样要求。</w:t>
      </w:r>
    </w:p>
    <w:p>
      <w:pPr>
        <w:pStyle w:val="66"/>
        <w:spacing w:before="156" w:after="156"/>
        <w:rPr>
          <w:rFonts w:hint="eastAsia" w:hAnsi="Times New Roman" w:cs="Times New Roman"/>
          <w:color w:val="auto"/>
          <w:lang w:val="en-US" w:eastAsia="zh-CN"/>
        </w:rPr>
      </w:pPr>
      <w:bookmarkStart w:id="65" w:name="_Toc847"/>
      <w:bookmarkStart w:id="66" w:name="_Toc14493"/>
      <w:r>
        <w:rPr>
          <w:rFonts w:hint="eastAsia" w:hAnsi="Times New Roman" w:cs="Times New Roman"/>
          <w:color w:val="auto"/>
          <w:lang w:val="en-US" w:eastAsia="zh-CN"/>
        </w:rPr>
        <w:t>抽样人员准备</w:t>
      </w:r>
      <w:bookmarkEnd w:id="65"/>
      <w:bookmarkEnd w:id="66"/>
    </w:p>
    <w:p>
      <w:pPr>
        <w:pStyle w:val="165"/>
        <w:rPr>
          <w:rFonts w:hint="eastAsia" w:ascii="黑体" w:hAnsi="黑体" w:eastAsia="黑体" w:cs="黑体"/>
          <w:b w:val="0"/>
          <w:bCs w:val="0"/>
          <w:color w:val="auto"/>
          <w:lang w:val="en-US" w:eastAsia="zh-CN"/>
        </w:rPr>
      </w:pPr>
      <w:r>
        <w:rPr>
          <w:rFonts w:hint="eastAsia" w:ascii="黑体" w:hAnsi="黑体" w:eastAsia="黑体" w:cs="黑体"/>
          <w:b w:val="0"/>
          <w:bCs w:val="0"/>
          <w:color w:val="auto"/>
          <w:lang w:val="en-US" w:eastAsia="zh-CN"/>
        </w:rPr>
        <w:t>抽样人员要求</w:t>
      </w:r>
    </w:p>
    <w:p>
      <w:pPr>
        <w:pStyle w:val="231"/>
        <w:bidi w:val="0"/>
        <w:rPr>
          <w:rFonts w:hint="eastAsia"/>
          <w:color w:val="auto"/>
          <w:lang w:val="en-US" w:eastAsia="zh-CN"/>
        </w:rPr>
      </w:pPr>
      <w:r>
        <w:rPr>
          <w:rFonts w:hint="eastAsia"/>
          <w:color w:val="auto"/>
          <w:lang w:val="en-US" w:eastAsia="zh-CN"/>
        </w:rPr>
        <w:t>抽样人员应经过所在单位组织的培训和考核。培训内容包括食品法律、法规、规章，食品安全标准，</w:t>
      </w:r>
      <w:r>
        <w:rPr>
          <w:rFonts w:hint="eastAsia"/>
          <w:color w:val="auto"/>
          <w:highlight w:val="none"/>
          <w:lang w:val="en-US" w:eastAsia="zh-CN"/>
        </w:rPr>
        <w:t>食品安全抽检实施细则，国家食品安全抽样检验信息系统等，培训结束后应对抽样人员进行考核，考核合格后方能上岗，并取得</w:t>
      </w:r>
      <w:r>
        <w:rPr>
          <w:rFonts w:hint="eastAsia"/>
          <w:highlight w:val="none"/>
        </w:rPr>
        <w:t>所在单位发放的</w:t>
      </w:r>
      <w:r>
        <w:rPr>
          <w:rFonts w:hint="eastAsia"/>
          <w:color w:val="auto"/>
          <w:lang w:val="en-US" w:eastAsia="zh-CN"/>
        </w:rPr>
        <w:t>有效抽样资质证件，同时做好培训和考核记录。</w:t>
      </w:r>
    </w:p>
    <w:p>
      <w:pPr>
        <w:pStyle w:val="165"/>
        <w:rPr>
          <w:rFonts w:hint="eastAsia" w:ascii="黑体" w:hAnsi="黑体" w:eastAsia="黑体" w:cs="黑体"/>
          <w:b w:val="0"/>
          <w:bCs w:val="0"/>
          <w:color w:val="auto"/>
          <w:lang w:val="en-US" w:eastAsia="zh-CN"/>
        </w:rPr>
      </w:pPr>
      <w:r>
        <w:rPr>
          <w:rFonts w:hint="eastAsia" w:ascii="黑体" w:hAnsi="黑体" w:eastAsia="黑体" w:cs="黑体"/>
          <w:b w:val="0"/>
          <w:bCs w:val="0"/>
          <w:color w:val="auto"/>
          <w:lang w:val="en-US" w:eastAsia="zh-CN"/>
        </w:rPr>
        <w:t>抽样人员的确定</w:t>
      </w:r>
    </w:p>
    <w:p>
      <w:pPr>
        <w:pStyle w:val="231"/>
        <w:bidi w:val="0"/>
        <w:rPr>
          <w:rFonts w:hint="eastAsia"/>
          <w:color w:val="auto"/>
          <w:highlight w:val="none"/>
          <w:lang w:val="en-US" w:eastAsia="zh-CN"/>
        </w:rPr>
      </w:pPr>
      <w:r>
        <w:rPr>
          <w:rFonts w:hint="eastAsia"/>
          <w:color w:val="auto"/>
          <w:lang w:val="en-US" w:eastAsia="zh-CN"/>
        </w:rPr>
        <w:t>抽样单</w:t>
      </w:r>
      <w:r>
        <w:rPr>
          <w:rFonts w:hint="eastAsia"/>
          <w:color w:val="auto"/>
          <w:highlight w:val="none"/>
          <w:lang w:val="en-US" w:eastAsia="zh-CN"/>
        </w:rPr>
        <w:t>位应当建立抽样人员管理档案，并根据人员外出、招录、离职、调岗等情况及时进行更新。</w:t>
      </w:r>
    </w:p>
    <w:p>
      <w:pPr>
        <w:pStyle w:val="231"/>
        <w:bidi w:val="0"/>
        <w:ind w:left="0" w:leftChars="0" w:firstLine="420" w:firstLineChars="200"/>
        <w:rPr>
          <w:rFonts w:hint="eastAsia"/>
          <w:color w:val="FF0000"/>
          <w:highlight w:val="none"/>
          <w:u w:val="none"/>
          <w:lang w:val="en-US" w:eastAsia="zh-CN"/>
        </w:rPr>
      </w:pPr>
      <w:r>
        <w:rPr>
          <w:rFonts w:hint="eastAsia"/>
          <w:color w:val="auto"/>
          <w:highlight w:val="none"/>
          <w:lang w:val="en-US" w:eastAsia="zh-CN"/>
        </w:rPr>
        <w:t>抽样检验工作实施抽检分离，随机确定抽样人员，抽样人员与检验人员不得为同一人。</w:t>
      </w:r>
      <w:r>
        <w:rPr>
          <w:rFonts w:hint="eastAsia"/>
          <w:color w:val="auto"/>
          <w:highlight w:val="none"/>
          <w:u w:val="none"/>
          <w:lang w:val="en-US" w:eastAsia="zh-CN"/>
        </w:rPr>
        <w:t>抽样单位根据实际情况选用合适的随机方法选派抽样人员，抽取过程应通过录像、录屏等方式进行记录保存，抽取记录应登记造册，有据可查。</w:t>
      </w:r>
    </w:p>
    <w:p>
      <w:pPr>
        <w:pStyle w:val="231"/>
        <w:bidi w:val="0"/>
        <w:ind w:left="0" w:leftChars="0" w:firstLine="420" w:firstLineChars="200"/>
        <w:rPr>
          <w:rFonts w:hint="eastAsia"/>
          <w:color w:val="auto"/>
          <w:lang w:val="en-US" w:eastAsia="zh-CN"/>
        </w:rPr>
      </w:pPr>
      <w:r>
        <w:rPr>
          <w:rFonts w:hint="eastAsia"/>
          <w:color w:val="auto"/>
          <w:lang w:val="en-US" w:eastAsia="zh-CN"/>
        </w:rPr>
        <w:t>开展网络抽样时，应当将《网络抽样人员信息登记表》报送至组织实施抽样检验工作的市场监管部门。</w:t>
      </w:r>
    </w:p>
    <w:p>
      <w:pPr>
        <w:pStyle w:val="165"/>
        <w:rPr>
          <w:rFonts w:hint="eastAsia" w:ascii="黑体" w:hAnsi="黑体" w:eastAsia="黑体" w:cs="黑体"/>
          <w:color w:val="auto"/>
          <w:sz w:val="21"/>
          <w:lang w:val="en-US" w:eastAsia="zh-CN" w:bidi="ar-SA"/>
        </w:rPr>
      </w:pPr>
      <w:r>
        <w:rPr>
          <w:rFonts w:hint="eastAsia" w:ascii="黑体" w:hAnsi="黑体" w:eastAsia="黑体" w:cs="Times New Roman"/>
          <w:color w:val="auto"/>
          <w:kern w:val="0"/>
          <w:szCs w:val="21"/>
          <w:lang w:val="en-US" w:eastAsia="zh-CN"/>
        </w:rPr>
        <w:t>抽样任务培训</w:t>
      </w:r>
    </w:p>
    <w:p>
      <w:pPr>
        <w:pStyle w:val="231"/>
        <w:bidi w:val="0"/>
        <w:rPr>
          <w:rFonts w:hint="eastAsia"/>
          <w:color w:val="auto"/>
          <w:lang w:val="en-US" w:eastAsia="zh-CN"/>
        </w:rPr>
      </w:pPr>
      <w:r>
        <w:rPr>
          <w:rFonts w:hint="eastAsia"/>
          <w:color w:val="auto"/>
          <w:highlight w:val="none"/>
          <w:lang w:val="en-US" w:eastAsia="zh-CN"/>
        </w:rPr>
        <w:t>每项抽检任务开始前，抽样单位应</w:t>
      </w:r>
      <w:r>
        <w:rPr>
          <w:rFonts w:hint="eastAsia"/>
          <w:color w:val="auto"/>
          <w:lang w:val="en-US" w:eastAsia="zh-CN"/>
        </w:rPr>
        <w:t>进行抽样任务培训并做好相关记录，培训包括以下内容：</w:t>
      </w:r>
    </w:p>
    <w:p>
      <w:pPr>
        <w:pStyle w:val="239"/>
        <w:numPr>
          <w:ilvl w:val="0"/>
          <w:numId w:val="35"/>
        </w:numPr>
        <w:tabs>
          <w:tab w:val="left" w:pos="851"/>
        </w:tabs>
        <w:ind w:left="839" w:hanging="419"/>
        <w:rPr>
          <w:color w:val="auto"/>
        </w:rPr>
      </w:pPr>
      <w:r>
        <w:rPr>
          <w:rFonts w:hint="eastAsia"/>
          <w:color w:val="auto"/>
          <w:lang w:val="en-US" w:eastAsia="zh-CN"/>
        </w:rPr>
        <w:t>抽样工作纪律</w:t>
      </w:r>
      <w:r>
        <w:rPr>
          <w:rFonts w:hint="eastAsia"/>
          <w:color w:val="auto"/>
          <w:lang w:eastAsia="zh-CN"/>
        </w:rPr>
        <w:t>；</w:t>
      </w:r>
    </w:p>
    <w:p>
      <w:pPr>
        <w:pStyle w:val="239"/>
        <w:numPr>
          <w:ilvl w:val="0"/>
          <w:numId w:val="13"/>
        </w:numPr>
        <w:ind w:left="839" w:hanging="419"/>
        <w:rPr>
          <w:color w:val="auto"/>
        </w:rPr>
      </w:pPr>
      <w:r>
        <w:rPr>
          <w:rFonts w:hint="eastAsia"/>
          <w:color w:val="auto"/>
          <w:lang w:val="en-US" w:eastAsia="zh-CN"/>
        </w:rPr>
        <w:t>抽样方案和随机抽样规则</w:t>
      </w:r>
      <w:r>
        <w:rPr>
          <w:rFonts w:hint="eastAsia"/>
          <w:color w:val="auto"/>
        </w:rPr>
        <w:t>；</w:t>
      </w:r>
    </w:p>
    <w:p>
      <w:pPr>
        <w:pStyle w:val="239"/>
        <w:numPr>
          <w:ilvl w:val="0"/>
          <w:numId w:val="13"/>
        </w:numPr>
        <w:ind w:left="839" w:hanging="419"/>
        <w:rPr>
          <w:color w:val="auto"/>
        </w:rPr>
      </w:pPr>
      <w:r>
        <w:rPr>
          <w:rFonts w:hint="eastAsia"/>
          <w:color w:val="auto"/>
          <w:lang w:val="en-US" w:eastAsia="zh-CN"/>
        </w:rPr>
        <w:t>抽样时间要求</w:t>
      </w:r>
      <w:r>
        <w:rPr>
          <w:rFonts w:hint="eastAsia"/>
          <w:color w:val="auto"/>
          <w:lang w:eastAsia="zh-CN"/>
        </w:rPr>
        <w:t>；</w:t>
      </w:r>
    </w:p>
    <w:p>
      <w:pPr>
        <w:pStyle w:val="239"/>
        <w:numPr>
          <w:ilvl w:val="0"/>
          <w:numId w:val="13"/>
        </w:numPr>
        <w:ind w:left="839" w:hanging="419"/>
        <w:rPr>
          <w:rFonts w:hint="eastAsia"/>
          <w:color w:val="auto"/>
          <w:lang w:val="en-US" w:eastAsia="zh-CN"/>
        </w:rPr>
      </w:pPr>
      <w:r>
        <w:rPr>
          <w:rFonts w:hint="eastAsia"/>
          <w:color w:val="auto"/>
          <w:lang w:val="en-US" w:eastAsia="zh-CN"/>
        </w:rPr>
        <w:t>抽样品种和数量；</w:t>
      </w:r>
    </w:p>
    <w:p>
      <w:pPr>
        <w:pStyle w:val="239"/>
        <w:numPr>
          <w:ilvl w:val="0"/>
          <w:numId w:val="13"/>
        </w:numPr>
        <w:ind w:left="839" w:hanging="419"/>
        <w:rPr>
          <w:rFonts w:hint="default"/>
          <w:color w:val="auto"/>
          <w:lang w:val="en-US" w:eastAsia="zh-CN"/>
        </w:rPr>
      </w:pPr>
      <w:r>
        <w:rPr>
          <w:rFonts w:hint="eastAsia"/>
          <w:color w:val="auto"/>
          <w:lang w:val="en-US" w:eastAsia="zh-CN"/>
        </w:rPr>
        <w:t>抽样流程；</w:t>
      </w:r>
    </w:p>
    <w:p>
      <w:pPr>
        <w:pStyle w:val="239"/>
        <w:numPr>
          <w:ilvl w:val="0"/>
          <w:numId w:val="13"/>
        </w:numPr>
        <w:ind w:left="839" w:hanging="419"/>
        <w:rPr>
          <w:color w:val="auto"/>
        </w:rPr>
      </w:pPr>
      <w:r>
        <w:rPr>
          <w:rFonts w:hint="eastAsia"/>
          <w:color w:val="auto"/>
          <w:lang w:val="en-US" w:eastAsia="zh-CN"/>
        </w:rPr>
        <w:t>其他需要培训的内容（如无菌采样操作规范、抽样覆盖面等）。</w:t>
      </w:r>
    </w:p>
    <w:p>
      <w:pPr>
        <w:pStyle w:val="66"/>
        <w:spacing w:before="156" w:after="156"/>
        <w:rPr>
          <w:rFonts w:hint="eastAsia" w:hAnsi="Times New Roman" w:cs="Times New Roman"/>
          <w:color w:val="auto"/>
          <w:lang w:val="en-US" w:eastAsia="zh-CN"/>
        </w:rPr>
      </w:pPr>
      <w:bookmarkStart w:id="67" w:name="_Toc26778"/>
      <w:bookmarkStart w:id="68" w:name="_Toc2191"/>
      <w:r>
        <w:rPr>
          <w:rFonts w:hint="eastAsia" w:hAnsi="Times New Roman" w:cs="Times New Roman"/>
          <w:color w:val="auto"/>
          <w:lang w:val="en-US" w:eastAsia="zh-CN"/>
        </w:rPr>
        <w:t>抽样物资准备</w:t>
      </w:r>
      <w:bookmarkEnd w:id="67"/>
      <w:bookmarkEnd w:id="68"/>
    </w:p>
    <w:p>
      <w:pPr>
        <w:pStyle w:val="165"/>
        <w:rPr>
          <w:rFonts w:hint="eastAsia" w:ascii="黑体" w:hAnsi="黑体" w:eastAsia="黑体" w:cs="黑体"/>
          <w:color w:val="auto"/>
          <w:sz w:val="21"/>
          <w:lang w:val="en-US" w:eastAsia="zh-CN" w:bidi="ar-SA"/>
        </w:rPr>
      </w:pPr>
      <w:r>
        <w:rPr>
          <w:rFonts w:hint="eastAsia" w:ascii="黑体" w:hAnsi="黑体" w:eastAsia="黑体" w:cs="黑体"/>
          <w:color w:val="auto"/>
          <w:sz w:val="21"/>
          <w:lang w:val="en-US" w:eastAsia="zh-CN" w:bidi="ar-SA"/>
        </w:rPr>
        <w:t>抽样证件</w:t>
      </w:r>
    </w:p>
    <w:p>
      <w:pPr>
        <w:pStyle w:val="165"/>
        <w:numPr>
          <w:ilvl w:val="4"/>
          <w:numId w:val="0"/>
        </w:numPr>
        <w:ind w:leftChars="0" w:firstLine="420" w:firstLineChars="200"/>
        <w:rPr>
          <w:rFonts w:hint="eastAsia" w:ascii="黑体" w:hAnsi="黑体" w:eastAsia="黑体" w:cs="黑体"/>
          <w:color w:val="auto"/>
          <w:sz w:val="21"/>
          <w:highlight w:val="yellow"/>
          <w:lang w:val="en-US" w:eastAsia="zh-CN" w:bidi="ar-SA"/>
        </w:rPr>
      </w:pPr>
      <w:r>
        <w:rPr>
          <w:rFonts w:hint="eastAsia"/>
          <w:color w:val="auto"/>
          <w:lang w:val="en-US" w:eastAsia="zh-CN"/>
        </w:rPr>
        <w:t>承检机构的抽样人员抽样时应持有效抽样资质证件，如身份证明文件、工作证等；食品安全行政执法人员抽样时应持执法证。</w:t>
      </w:r>
    </w:p>
    <w:p>
      <w:pPr>
        <w:pStyle w:val="165"/>
        <w:rPr>
          <w:rFonts w:hint="eastAsia" w:ascii="黑体" w:hAnsi="黑体" w:eastAsia="黑体" w:cs="黑体"/>
          <w:color w:val="auto"/>
          <w:sz w:val="21"/>
          <w:lang w:val="en-US" w:eastAsia="zh-CN" w:bidi="ar-SA"/>
        </w:rPr>
      </w:pPr>
      <w:r>
        <w:rPr>
          <w:rFonts w:hint="eastAsia" w:ascii="黑体" w:hAnsi="黑体" w:eastAsia="黑体" w:cs="黑体"/>
          <w:color w:val="auto"/>
          <w:sz w:val="21"/>
          <w:lang w:val="en-US" w:eastAsia="zh-CN" w:bidi="ar-SA"/>
        </w:rPr>
        <w:t>抽样资料和文书</w:t>
      </w:r>
    </w:p>
    <w:p>
      <w:pPr>
        <w:pStyle w:val="165"/>
        <w:numPr>
          <w:ilvl w:val="4"/>
          <w:numId w:val="0"/>
        </w:numPr>
        <w:ind w:leftChars="0" w:firstLine="420" w:firstLineChars="200"/>
        <w:rPr>
          <w:rFonts w:hint="eastAsia" w:ascii="黑体" w:hAnsi="黑体" w:eastAsia="黑体" w:cs="黑体"/>
          <w:color w:val="auto"/>
          <w:sz w:val="21"/>
          <w:lang w:val="en-US" w:eastAsia="zh-CN" w:bidi="ar-SA"/>
        </w:rPr>
      </w:pPr>
      <w:r>
        <w:rPr>
          <w:rFonts w:hint="eastAsia"/>
          <w:color w:val="auto"/>
          <w:lang w:val="en-US" w:eastAsia="zh-CN"/>
        </w:rPr>
        <w:t>抽样实施方</w:t>
      </w:r>
      <w:r>
        <w:rPr>
          <w:rFonts w:hint="eastAsia"/>
          <w:color w:val="auto"/>
          <w:highlight w:val="none"/>
          <w:lang w:val="en-US" w:eastAsia="zh-CN"/>
        </w:rPr>
        <w:t>案、《食品安全抽样检验告知书》《食品安全抽样检验抽样单》《食品安全抽样检验封条》《食品安全抽样检验样品购置费用告知书》《食品安全抽样检验拒绝抽样情况说明》《食品安全抽样检验工作质量及工作纪律反馈单》《食品安全抽样检验任务委托书》《食品安全抽样检验样品移交确认单》等。</w:t>
      </w:r>
    </w:p>
    <w:p>
      <w:pPr>
        <w:pStyle w:val="165"/>
        <w:rPr>
          <w:rFonts w:hint="eastAsia" w:ascii="黑体" w:hAnsi="黑体" w:eastAsia="黑体" w:cs="黑体"/>
          <w:color w:val="auto"/>
          <w:sz w:val="21"/>
          <w:lang w:val="en-US" w:eastAsia="zh-CN" w:bidi="ar-SA"/>
        </w:rPr>
      </w:pPr>
      <w:r>
        <w:rPr>
          <w:rFonts w:hint="eastAsia" w:ascii="黑体" w:hAnsi="黑体" w:eastAsia="黑体" w:cs="黑体"/>
          <w:color w:val="auto"/>
          <w:sz w:val="21"/>
          <w:lang w:val="en-US" w:eastAsia="zh-CN" w:bidi="ar-SA"/>
        </w:rPr>
        <w:t>抽样装备</w:t>
      </w:r>
    </w:p>
    <w:p>
      <w:pPr>
        <w:pStyle w:val="165"/>
        <w:numPr>
          <w:ilvl w:val="4"/>
          <w:numId w:val="0"/>
        </w:numPr>
        <w:ind w:leftChars="0" w:firstLine="420" w:firstLineChars="200"/>
        <w:rPr>
          <w:rFonts w:hint="eastAsia" w:ascii="黑体" w:hAnsi="黑体" w:eastAsia="黑体" w:cs="黑体"/>
          <w:color w:val="auto"/>
          <w:sz w:val="21"/>
          <w:lang w:val="en-US" w:eastAsia="zh-CN" w:bidi="ar-SA"/>
        </w:rPr>
      </w:pPr>
      <w:r>
        <w:rPr>
          <w:rFonts w:hint="eastAsia"/>
          <w:color w:val="auto"/>
          <w:lang w:val="en-US" w:eastAsia="zh-CN"/>
        </w:rPr>
        <w:t>包括标识有上海食品抽样的统一制服或识别服、视频记录仪、移动终端设备、打印机、随机数产生装备以及用于样品储存运输的车辆、保温箱、车载冰箱、温度记录仪等设备，如果采样任务涉及无菌采样还需准备酒精灯、无菌手套、无菌服等无菌采样设备。</w:t>
      </w:r>
    </w:p>
    <w:p>
      <w:pPr>
        <w:pStyle w:val="106"/>
        <w:spacing w:before="156" w:after="156"/>
        <w:rPr>
          <w:color w:val="auto"/>
        </w:rPr>
      </w:pPr>
      <w:bookmarkStart w:id="69" w:name="_Toc8391"/>
      <w:r>
        <w:rPr>
          <w:rFonts w:hint="eastAsia"/>
          <w:color w:val="auto"/>
          <w:lang w:val="en-US" w:eastAsia="zh-CN"/>
        </w:rPr>
        <w:t>现场抽样</w:t>
      </w:r>
      <w:bookmarkEnd w:id="69"/>
    </w:p>
    <w:p>
      <w:pPr>
        <w:pStyle w:val="66"/>
        <w:spacing w:before="156" w:after="156"/>
        <w:rPr>
          <w:rFonts w:hint="default" w:hAnsi="Times New Roman" w:cs="Times New Roman"/>
          <w:color w:val="auto"/>
          <w:lang w:val="en-US" w:eastAsia="zh-CN"/>
        </w:rPr>
      </w:pPr>
      <w:bookmarkStart w:id="70" w:name="_Toc28540"/>
      <w:bookmarkStart w:id="71" w:name="_Toc32487"/>
      <w:r>
        <w:rPr>
          <w:rFonts w:hint="eastAsia" w:hAnsi="Times New Roman" w:cs="Times New Roman"/>
          <w:color w:val="auto"/>
          <w:lang w:val="en-US" w:eastAsia="zh-CN"/>
        </w:rPr>
        <w:t>抽样告知</w:t>
      </w:r>
      <w:bookmarkEnd w:id="70"/>
      <w:bookmarkEnd w:id="71"/>
    </w:p>
    <w:p>
      <w:pPr>
        <w:pStyle w:val="231"/>
        <w:bidi w:val="0"/>
        <w:rPr>
          <w:rFonts w:hint="eastAsia"/>
          <w:color w:val="auto"/>
          <w:lang w:val="en-US" w:eastAsia="zh-CN"/>
        </w:rPr>
      </w:pPr>
      <w:r>
        <w:rPr>
          <w:rFonts w:hint="eastAsia"/>
          <w:color w:val="auto"/>
          <w:lang w:val="en-US" w:eastAsia="zh-CN"/>
        </w:rPr>
        <w:t>抽样时应当向被抽样单位出示抽样人员有效身份证明文件及《食品安全抽样检验告知书》，并告知其依法享有的权利和应当承担的义务。由承检机构执行抽样任务的，还应当向被抽样单位出示《食品安全抽样检验任务委托书》。</w:t>
      </w:r>
    </w:p>
    <w:p>
      <w:pPr>
        <w:pStyle w:val="66"/>
        <w:spacing w:before="156" w:after="156"/>
        <w:rPr>
          <w:rFonts w:hint="eastAsia" w:hAnsi="Times New Roman" w:cs="Times New Roman"/>
          <w:color w:val="auto"/>
          <w:lang w:val="en-US" w:eastAsia="zh-CN"/>
        </w:rPr>
      </w:pPr>
      <w:bookmarkStart w:id="72" w:name="_Toc20654"/>
      <w:bookmarkStart w:id="73" w:name="_Toc20212"/>
      <w:bookmarkStart w:id="74" w:name="_Toc21535"/>
      <w:r>
        <w:rPr>
          <w:rFonts w:hint="eastAsia" w:hAnsi="Times New Roman" w:cs="Times New Roman"/>
          <w:color w:val="auto"/>
          <w:lang w:val="en-US" w:eastAsia="zh-CN"/>
        </w:rPr>
        <w:t>信息核查</w:t>
      </w:r>
      <w:bookmarkEnd w:id="72"/>
      <w:bookmarkEnd w:id="73"/>
      <w:bookmarkEnd w:id="74"/>
    </w:p>
    <w:p>
      <w:pPr>
        <w:pStyle w:val="231"/>
        <w:rPr>
          <w:color w:val="auto"/>
        </w:rPr>
      </w:pPr>
      <w:r>
        <w:rPr>
          <w:rFonts w:hint="eastAsia"/>
          <w:color w:val="auto"/>
        </w:rPr>
        <w:t>抽样人员应要求被抽样单位提供单位营业执照、食品生产经营许可证等相关法定资质证件，确认被抽样单位合法生产经营，并且确认拟抽取的食品属于被抽样单位法定资质允许生产经营的食品。必要时，可核查进货查验记录、合法进货凭证等可追溯信息。</w:t>
      </w:r>
    </w:p>
    <w:p>
      <w:pPr>
        <w:pStyle w:val="66"/>
        <w:spacing w:before="156" w:after="156"/>
        <w:rPr>
          <w:rFonts w:hint="eastAsia" w:hAnsi="Times New Roman" w:cs="Times New Roman"/>
          <w:color w:val="auto"/>
          <w:lang w:val="en-US" w:eastAsia="zh-CN"/>
        </w:rPr>
      </w:pPr>
      <w:bookmarkStart w:id="75" w:name="_Toc6623"/>
      <w:bookmarkStart w:id="76" w:name="_Toc27672"/>
      <w:bookmarkStart w:id="77" w:name="_Toc26393"/>
      <w:r>
        <w:rPr>
          <w:rFonts w:hint="eastAsia" w:hAnsi="Times New Roman" w:cs="Times New Roman"/>
          <w:color w:val="auto"/>
          <w:lang w:val="en-US" w:eastAsia="zh-CN"/>
        </w:rPr>
        <w:t>样品抽取</w:t>
      </w:r>
      <w:bookmarkEnd w:id="75"/>
      <w:bookmarkEnd w:id="76"/>
      <w:bookmarkEnd w:id="77"/>
    </w:p>
    <w:p>
      <w:pPr>
        <w:pStyle w:val="231"/>
        <w:rPr>
          <w:rFonts w:hint="eastAsia"/>
          <w:highlight w:val="none"/>
        </w:rPr>
      </w:pPr>
      <w:r>
        <w:rPr>
          <w:rFonts w:hint="eastAsia"/>
          <w:highlight w:val="none"/>
        </w:rPr>
        <w:t>抽样人员可以从食品经营者的经营场所、仓库以及食品生产者的成品库待销产品中随机抽取样品，不得由被抽样单位自行提供样品。抽样数量原则上应当满足检验和复检的要求。</w:t>
      </w:r>
    </w:p>
    <w:p>
      <w:pPr>
        <w:pStyle w:val="231"/>
        <w:rPr>
          <w:highlight w:val="none"/>
        </w:rPr>
      </w:pPr>
      <w:r>
        <w:rPr>
          <w:rFonts w:hint="eastAsia"/>
          <w:highlight w:val="none"/>
        </w:rPr>
        <w:t>对易腐烂变质的蔬菜、水果等食用农产品样品，需进行均质备份样品的，应当在现场抽样时主动向被抽样单位告知确认，在现场或实验室进行均质备份样品时，采取拍照或摄像等方式进行记录。</w:t>
      </w:r>
    </w:p>
    <w:p>
      <w:pPr>
        <w:pStyle w:val="66"/>
        <w:spacing w:before="156" w:after="156"/>
        <w:rPr>
          <w:rFonts w:hint="eastAsia" w:hAnsi="Times New Roman" w:cs="Times New Roman"/>
          <w:highlight w:val="none"/>
          <w:lang w:val="en-US" w:eastAsia="zh-CN"/>
        </w:rPr>
      </w:pPr>
      <w:bookmarkStart w:id="78" w:name="_Toc21770"/>
      <w:bookmarkStart w:id="79" w:name="_Toc13742"/>
      <w:bookmarkStart w:id="80" w:name="_Toc31697"/>
      <w:r>
        <w:rPr>
          <w:rFonts w:hint="eastAsia" w:hAnsi="Times New Roman" w:cs="Times New Roman"/>
          <w:highlight w:val="none"/>
          <w:lang w:val="en-US" w:eastAsia="zh-CN"/>
        </w:rPr>
        <w:t>抽样方法</w:t>
      </w:r>
      <w:bookmarkEnd w:id="78"/>
      <w:bookmarkEnd w:id="79"/>
      <w:bookmarkEnd w:id="80"/>
    </w:p>
    <w:p>
      <w:pPr>
        <w:pStyle w:val="165"/>
        <w:rPr>
          <w:rFonts w:hint="eastAsia" w:ascii="黑体" w:hAnsi="黑体" w:eastAsia="黑体" w:cs="黑体"/>
          <w:sz w:val="21"/>
          <w:highlight w:val="none"/>
          <w:lang w:val="en-US" w:eastAsia="zh-CN" w:bidi="ar-SA"/>
        </w:rPr>
      </w:pPr>
      <w:r>
        <w:rPr>
          <w:rFonts w:hint="eastAsia" w:ascii="黑体" w:hAnsi="黑体" w:eastAsia="黑体" w:cs="黑体"/>
          <w:sz w:val="21"/>
          <w:highlight w:val="none"/>
          <w:lang w:val="en-US" w:eastAsia="zh-CN" w:bidi="ar-SA"/>
        </w:rPr>
        <w:t>包装食品抽样方法（含预包装或非定量包装）</w:t>
      </w:r>
    </w:p>
    <w:p>
      <w:pPr>
        <w:pStyle w:val="165"/>
        <w:numPr>
          <w:ilvl w:val="4"/>
          <w:numId w:val="0"/>
        </w:numPr>
        <w:ind w:firstLine="420" w:firstLineChars="200"/>
        <w:rPr>
          <w:rFonts w:hint="eastAsia"/>
          <w:highlight w:val="none"/>
          <w:lang w:val="en-US" w:eastAsia="zh-CN"/>
        </w:rPr>
      </w:pPr>
      <w:r>
        <w:rPr>
          <w:rFonts w:hint="eastAsia"/>
          <w:highlight w:val="none"/>
          <w:lang w:val="en-US" w:eastAsia="zh-CN"/>
        </w:rPr>
        <w:t>包装食品应抽取保质期内、包装完好的产品且应具有标识信息的待销产品。所抽取样品分为两份，其中一份作为检验样品，另一份作为复检备份样品（风险监测无备样）。</w:t>
      </w:r>
    </w:p>
    <w:p>
      <w:pPr>
        <w:pStyle w:val="165"/>
        <w:numPr>
          <w:ilvl w:val="4"/>
          <w:numId w:val="0"/>
        </w:numPr>
        <w:ind w:leftChars="0" w:firstLine="420" w:firstLineChars="200"/>
        <w:rPr>
          <w:rFonts w:hint="eastAsia" w:ascii="黑体" w:hAnsi="黑体" w:eastAsia="黑体" w:cs="黑体"/>
          <w:sz w:val="21"/>
          <w:highlight w:val="none"/>
          <w:lang w:val="en-US" w:eastAsia="zh-CN" w:bidi="ar-SA"/>
        </w:rPr>
      </w:pPr>
      <w:r>
        <w:rPr>
          <w:rFonts w:hint="eastAsia"/>
          <w:highlight w:val="none"/>
          <w:lang w:val="en-US" w:eastAsia="zh-CN"/>
        </w:rPr>
        <w:t>生产环节抽样时，在企业的成品库房，从同一批次样品堆的不同部位抽取相应数量的样品。流通环节抽样时，在货架、柜台、库房或网络食品经营平台抽取同一批次待销产品。餐饮环节抽样时，抽取同一批次待销或使用的产品，应抽取完整包装产品。</w:t>
      </w:r>
    </w:p>
    <w:p>
      <w:pPr>
        <w:pStyle w:val="165"/>
        <w:rPr>
          <w:rFonts w:hint="eastAsia" w:ascii="黑体" w:hAnsi="黑体" w:eastAsia="黑体" w:cs="黑体"/>
          <w:sz w:val="21"/>
          <w:highlight w:val="none"/>
          <w:lang w:val="en-US" w:eastAsia="zh-CN" w:bidi="ar-SA"/>
        </w:rPr>
      </w:pPr>
      <w:r>
        <w:rPr>
          <w:rFonts w:hint="eastAsia" w:ascii="黑体" w:hAnsi="黑体" w:eastAsia="黑体" w:cs="黑体"/>
          <w:sz w:val="21"/>
          <w:highlight w:val="none"/>
          <w:lang w:val="en-US" w:eastAsia="zh-CN" w:bidi="ar-SA"/>
        </w:rPr>
        <w:t>无包装食品和需要分装的包装食品抽样方法</w:t>
      </w:r>
    </w:p>
    <w:p>
      <w:pPr>
        <w:pStyle w:val="165"/>
        <w:numPr>
          <w:ilvl w:val="4"/>
          <w:numId w:val="0"/>
        </w:numPr>
        <w:ind w:leftChars="0" w:firstLine="420" w:firstLineChars="200"/>
        <w:rPr>
          <w:rFonts w:hint="eastAsia"/>
          <w:highlight w:val="none"/>
          <w:lang w:val="en-US" w:eastAsia="zh-CN"/>
        </w:rPr>
      </w:pPr>
      <w:r>
        <w:rPr>
          <w:rFonts w:hint="eastAsia"/>
          <w:highlight w:val="none"/>
          <w:lang w:val="en-US" w:eastAsia="zh-CN"/>
        </w:rPr>
        <w:t>无包装食品和需要分装的包装食品应预先对容器内的食品充分混合或从不同部位采集分样混合成一份样品，所取样品需要具有代表性。</w:t>
      </w:r>
    </w:p>
    <w:p>
      <w:pPr>
        <w:pStyle w:val="165"/>
        <w:numPr>
          <w:ilvl w:val="4"/>
          <w:numId w:val="0"/>
        </w:numPr>
        <w:ind w:leftChars="0" w:firstLine="420" w:firstLineChars="200"/>
        <w:rPr>
          <w:rFonts w:hint="eastAsia"/>
          <w:highlight w:val="none"/>
          <w:lang w:val="en-US" w:eastAsia="zh-CN"/>
        </w:rPr>
      </w:pPr>
      <w:r>
        <w:rPr>
          <w:rFonts w:hint="eastAsia"/>
          <w:highlight w:val="none"/>
          <w:lang w:val="en-US" w:eastAsia="zh-CN"/>
        </w:rPr>
        <w:t>固体从盛放样品包装的上、中、下不同的部位多点采样，混合后按四分法对角采样，再进行混合，最后取有代表性样品放入采样包装中；散装半固体这类较稠的物料不易充分混匀，打开包装，用采样器分上、中、下三层分别取出检样，将样品混合均匀；固体、半固体可使用小勺或镊子采样；散装液体（如饮料等）样品应先充分混合后，再取中间部位的样品，采样时可使用玻璃吸管或倾倒方式。</w:t>
      </w:r>
    </w:p>
    <w:p>
      <w:pPr>
        <w:pStyle w:val="165"/>
        <w:numPr>
          <w:ilvl w:val="4"/>
          <w:numId w:val="0"/>
        </w:numPr>
        <w:ind w:leftChars="0" w:firstLine="420" w:firstLineChars="200"/>
        <w:rPr>
          <w:rFonts w:hint="eastAsia" w:ascii="黑体" w:hAnsi="黑体" w:eastAsia="黑体" w:cs="黑体"/>
          <w:sz w:val="21"/>
          <w:highlight w:val="none"/>
          <w:lang w:val="en-US" w:eastAsia="zh-CN" w:bidi="ar-SA"/>
        </w:rPr>
      </w:pPr>
      <w:r>
        <w:rPr>
          <w:rFonts w:hint="eastAsia"/>
          <w:highlight w:val="none"/>
          <w:lang w:val="en-US" w:eastAsia="zh-CN"/>
        </w:rPr>
        <w:t>样品应盛装于由抽样单位专门准备的清洁卫生的包装或容器内。特殊情况下可由被抽样单位协助抽样。</w:t>
      </w:r>
    </w:p>
    <w:p>
      <w:pPr>
        <w:pStyle w:val="165"/>
        <w:rPr>
          <w:rFonts w:hint="eastAsia" w:ascii="黑体" w:hAnsi="黑体" w:eastAsia="黑体" w:cs="黑体"/>
          <w:sz w:val="21"/>
          <w:highlight w:val="none"/>
          <w:lang w:val="en-US" w:eastAsia="zh-CN" w:bidi="ar-SA"/>
        </w:rPr>
      </w:pPr>
      <w:r>
        <w:rPr>
          <w:rFonts w:hint="eastAsia" w:ascii="黑体" w:hAnsi="黑体" w:eastAsia="黑体" w:cs="黑体"/>
          <w:sz w:val="21"/>
          <w:highlight w:val="none"/>
          <w:lang w:val="en-US" w:eastAsia="zh-CN" w:bidi="ar-SA"/>
        </w:rPr>
        <w:t>食用农产品抽样方法</w:t>
      </w:r>
    </w:p>
    <w:p>
      <w:pPr>
        <w:pStyle w:val="165"/>
        <w:numPr>
          <w:ilvl w:val="4"/>
          <w:numId w:val="0"/>
        </w:numPr>
        <w:ind w:leftChars="0" w:firstLine="420" w:firstLineChars="200"/>
        <w:rPr>
          <w:rFonts w:hint="eastAsia"/>
          <w:highlight w:val="none"/>
          <w:lang w:val="en-US" w:eastAsia="zh-CN"/>
        </w:rPr>
      </w:pPr>
      <w:r>
        <w:rPr>
          <w:rFonts w:hint="eastAsia"/>
          <w:highlight w:val="none"/>
          <w:lang w:val="en-US" w:eastAsia="zh-CN"/>
        </w:rPr>
        <w:t>在流通环节抽取食用农产品时，应在同一货架或摊位抽取同一产地、同一生产商（供应商）、同一种类、同一生产日期（进货日期）、同一码放堆（或同一池/缸等）、同一等级的样品，即视为同一批次样品。抽样时应视情况分层、分方向抽取样品。餐饮环节抽样时，将来自同一生产商（供应商）的同一种类、同一生产日期或购进日期的产品视为同一批次。</w:t>
      </w:r>
    </w:p>
    <w:p>
      <w:pPr>
        <w:pStyle w:val="165"/>
        <w:numPr>
          <w:ilvl w:val="4"/>
          <w:numId w:val="0"/>
        </w:numPr>
        <w:ind w:leftChars="0" w:firstLine="420" w:firstLineChars="200"/>
        <w:rPr>
          <w:rFonts w:hint="eastAsia"/>
          <w:highlight w:val="none"/>
          <w:lang w:val="en-US" w:eastAsia="zh-CN"/>
        </w:rPr>
      </w:pPr>
      <w:r>
        <w:rPr>
          <w:rFonts w:hint="eastAsia"/>
          <w:highlight w:val="none"/>
          <w:lang w:val="en-US" w:eastAsia="zh-CN"/>
        </w:rPr>
        <w:t>畜禽肉及副产品：对于包装产品，可打开后将样品对称分切为2份，保留原包装。对于个体较小的产品如鸡心等，可不分切，混合后分成2份。</w:t>
      </w:r>
    </w:p>
    <w:p>
      <w:pPr>
        <w:pStyle w:val="165"/>
        <w:numPr>
          <w:ilvl w:val="4"/>
          <w:numId w:val="0"/>
        </w:numPr>
        <w:ind w:leftChars="0" w:firstLine="420" w:firstLineChars="200"/>
        <w:rPr>
          <w:rFonts w:hint="eastAsia"/>
          <w:highlight w:val="none"/>
          <w:lang w:val="en-US" w:eastAsia="zh-CN"/>
        </w:rPr>
      </w:pPr>
      <w:r>
        <w:rPr>
          <w:rFonts w:hint="eastAsia"/>
          <w:highlight w:val="none"/>
          <w:lang w:val="en-US" w:eastAsia="zh-CN"/>
        </w:rPr>
        <w:t>蔬菜：从同一批次中抽取无明显瘀伤、腐烂、长菌或其他表面损伤的蔬菜样品。除去泥土、黏附物及萎蔫部分。扎捆的蔬菜应打开，等分为两部分，多捆时分别分成两部分。</w:t>
      </w:r>
    </w:p>
    <w:p>
      <w:pPr>
        <w:pStyle w:val="165"/>
        <w:numPr>
          <w:ilvl w:val="4"/>
          <w:numId w:val="0"/>
        </w:numPr>
        <w:ind w:leftChars="0" w:firstLine="420" w:firstLineChars="200"/>
        <w:rPr>
          <w:rFonts w:hint="eastAsia"/>
          <w:highlight w:val="none"/>
          <w:lang w:val="en-US" w:eastAsia="zh-CN"/>
        </w:rPr>
      </w:pPr>
      <w:r>
        <w:rPr>
          <w:rFonts w:hint="eastAsia"/>
          <w:highlight w:val="none"/>
          <w:lang w:val="en-US" w:eastAsia="zh-CN"/>
        </w:rPr>
        <w:t>水产品：较大个体水产品应沿脊背剖开分割为两部分，分别作为检验样品和复检备份样品；抽取多个个体时，应分别沿脊背剖开分割为两部分，其中一部分组合为检验样品，检验时混合制样；另一部分组合为复检备份样品；对小个体产品如虾、贝等，取出足够数量样品，混合后采用四分法取样。</w:t>
      </w:r>
    </w:p>
    <w:p>
      <w:pPr>
        <w:pStyle w:val="165"/>
        <w:numPr>
          <w:ilvl w:val="4"/>
          <w:numId w:val="0"/>
        </w:numPr>
        <w:ind w:leftChars="0" w:firstLine="420" w:firstLineChars="200"/>
        <w:rPr>
          <w:rFonts w:hint="eastAsia"/>
          <w:highlight w:val="none"/>
          <w:lang w:val="en-US" w:eastAsia="zh-CN"/>
        </w:rPr>
      </w:pPr>
      <w:r>
        <w:rPr>
          <w:rFonts w:hint="eastAsia"/>
          <w:highlight w:val="none"/>
          <w:lang w:val="en-US" w:eastAsia="zh-CN"/>
        </w:rPr>
        <w:t>其他食用农产品的抽样按照国家法律法规和标准要求进行。</w:t>
      </w:r>
    </w:p>
    <w:p>
      <w:pPr>
        <w:pStyle w:val="165"/>
        <w:numPr>
          <w:ilvl w:val="4"/>
          <w:numId w:val="0"/>
        </w:numPr>
        <w:ind w:leftChars="0" w:firstLine="420" w:firstLineChars="200"/>
        <w:rPr>
          <w:rFonts w:hint="eastAsia"/>
          <w:highlight w:val="none"/>
          <w:lang w:val="en-US" w:eastAsia="zh-CN"/>
        </w:rPr>
      </w:pPr>
      <w:r>
        <w:rPr>
          <w:rFonts w:hint="eastAsia"/>
          <w:highlight w:val="none"/>
          <w:lang w:val="en-US" w:eastAsia="zh-CN"/>
        </w:rPr>
        <w:t>抽样全过程所有用具不应对样品造成二次污染。</w:t>
      </w:r>
    </w:p>
    <w:p>
      <w:pPr>
        <w:pStyle w:val="165"/>
        <w:rPr>
          <w:rFonts w:hint="eastAsia" w:ascii="黑体" w:hAnsi="黑体" w:eastAsia="黑体" w:cs="黑体"/>
          <w:sz w:val="21"/>
          <w:highlight w:val="none"/>
          <w:lang w:val="en-US" w:eastAsia="zh-CN" w:bidi="ar-SA"/>
        </w:rPr>
      </w:pPr>
      <w:r>
        <w:rPr>
          <w:rFonts w:hint="eastAsia" w:ascii="黑体" w:hAnsi="黑体" w:eastAsia="黑体" w:cs="黑体"/>
          <w:sz w:val="21"/>
          <w:highlight w:val="none"/>
          <w:lang w:val="en-US" w:eastAsia="zh-CN" w:bidi="ar-SA"/>
        </w:rPr>
        <w:t>无菌抽样</w:t>
      </w:r>
    </w:p>
    <w:p>
      <w:pPr>
        <w:pStyle w:val="165"/>
        <w:numPr>
          <w:ilvl w:val="4"/>
          <w:numId w:val="0"/>
        </w:numPr>
        <w:ind w:leftChars="0" w:firstLine="420" w:firstLineChars="200"/>
        <w:rPr>
          <w:rFonts w:hint="eastAsia"/>
          <w:highlight w:val="none"/>
        </w:rPr>
      </w:pPr>
      <w:r>
        <w:rPr>
          <w:rFonts w:hint="eastAsia"/>
          <w:highlight w:val="none"/>
        </w:rPr>
        <w:t>散装食品和环节表面微生物指标检测应采用无菌采样，并按照GB 4789.1和相关规定执行，消毒餐饮具采样，按照GB 14934和相关规定执行。</w:t>
      </w:r>
    </w:p>
    <w:p>
      <w:pPr>
        <w:pStyle w:val="165"/>
        <w:numPr>
          <w:ilvl w:val="4"/>
          <w:numId w:val="0"/>
        </w:numPr>
        <w:ind w:leftChars="0" w:firstLine="420" w:firstLineChars="200"/>
        <w:rPr>
          <w:rFonts w:hint="eastAsia"/>
          <w:highlight w:val="none"/>
        </w:rPr>
      </w:pPr>
      <w:r>
        <w:rPr>
          <w:rFonts w:hint="eastAsia"/>
          <w:highlight w:val="none"/>
        </w:rPr>
        <w:t>重复使用的采样工具</w:t>
      </w:r>
      <w:r>
        <w:rPr>
          <w:rFonts w:hint="eastAsia"/>
          <w:highlight w:val="none"/>
          <w:lang w:val="en-US" w:eastAsia="zh-CN"/>
        </w:rPr>
        <w:t>应</w:t>
      </w:r>
      <w:r>
        <w:rPr>
          <w:rFonts w:hint="eastAsia"/>
          <w:highlight w:val="none"/>
        </w:rPr>
        <w:t>经过灭菌处理，并在采样前一直处于无菌状态。车载冰箱、保温箱、冰袋等在用于采样前，需使用酒精擦拭、喷洒等方式进行消毒。一次性使用的无菌采样工具应选择具有消毒卫生资质的产品，按照说明书规定使用。</w:t>
      </w:r>
    </w:p>
    <w:p>
      <w:pPr>
        <w:pStyle w:val="231"/>
        <w:bidi w:val="0"/>
        <w:rPr>
          <w:rFonts w:hint="eastAsia"/>
          <w:highlight w:val="none"/>
          <w:lang w:val="en-US" w:eastAsia="zh-CN"/>
        </w:rPr>
      </w:pPr>
      <w:r>
        <w:rPr>
          <w:rFonts w:hint="eastAsia"/>
          <w:highlight w:val="none"/>
        </w:rPr>
        <w:t>采样</w:t>
      </w:r>
      <w:r>
        <w:rPr>
          <w:rFonts w:hint="eastAsia"/>
          <w:highlight w:val="none"/>
          <w:lang w:val="en-US" w:eastAsia="zh-CN"/>
        </w:rPr>
        <w:t>应</w:t>
      </w:r>
      <w:r>
        <w:rPr>
          <w:rFonts w:hint="eastAsia"/>
          <w:highlight w:val="none"/>
        </w:rPr>
        <w:t>严格遵守无菌操作程序，防止采样对样品造成的微生物污染。</w:t>
      </w:r>
    </w:p>
    <w:p>
      <w:pPr>
        <w:pStyle w:val="239"/>
        <w:numPr>
          <w:ilvl w:val="0"/>
          <w:numId w:val="36"/>
        </w:numPr>
        <w:tabs>
          <w:tab w:val="left" w:pos="851"/>
        </w:tabs>
        <w:ind w:left="839" w:hanging="419"/>
        <w:rPr>
          <w:rFonts w:hint="eastAsia"/>
          <w:highlight w:val="none"/>
        </w:rPr>
      </w:pPr>
      <w:r>
        <w:rPr>
          <w:rFonts w:hint="eastAsia"/>
          <w:highlight w:val="none"/>
        </w:rPr>
        <w:t>采样人员应在与外界相对隔离的洁净环境下进行采样，其中餐饮具应抽取待用状态下的样品</w:t>
      </w:r>
      <w:r>
        <w:rPr>
          <w:rFonts w:hint="eastAsia"/>
          <w:highlight w:val="none"/>
          <w:lang w:eastAsia="zh-CN"/>
        </w:rPr>
        <w:t>；</w:t>
      </w:r>
    </w:p>
    <w:p>
      <w:pPr>
        <w:pStyle w:val="239"/>
        <w:numPr>
          <w:ilvl w:val="0"/>
          <w:numId w:val="36"/>
        </w:numPr>
        <w:tabs>
          <w:tab w:val="left" w:pos="851"/>
        </w:tabs>
        <w:ind w:left="839" w:hanging="419"/>
        <w:rPr>
          <w:highlight w:val="none"/>
        </w:rPr>
      </w:pPr>
      <w:r>
        <w:rPr>
          <w:rFonts w:hint="eastAsia"/>
          <w:highlight w:val="none"/>
        </w:rPr>
        <w:t>采样时应佩戴一次性手套、口罩、帽子，穿着洁净工作服。采样前应对一次性手套表面进行消毒</w:t>
      </w:r>
      <w:r>
        <w:rPr>
          <w:rFonts w:hint="eastAsia"/>
          <w:highlight w:val="none"/>
          <w:lang w:eastAsia="zh-CN"/>
        </w:rPr>
        <w:t>；</w:t>
      </w:r>
    </w:p>
    <w:p>
      <w:pPr>
        <w:pStyle w:val="239"/>
        <w:numPr>
          <w:ilvl w:val="0"/>
          <w:numId w:val="36"/>
        </w:numPr>
        <w:tabs>
          <w:tab w:val="left" w:pos="851"/>
        </w:tabs>
        <w:ind w:left="839" w:hanging="419"/>
        <w:rPr>
          <w:highlight w:val="none"/>
        </w:rPr>
      </w:pPr>
      <w:r>
        <w:rPr>
          <w:rFonts w:hint="eastAsia"/>
          <w:highlight w:val="none"/>
        </w:rPr>
        <w:t>每抽取一份样品，应更换新的采样工具，或将用过的采样工具消毒后，再取另一份样品，以免交叉污染。</w:t>
      </w:r>
    </w:p>
    <w:p>
      <w:pPr>
        <w:pStyle w:val="66"/>
        <w:spacing w:before="156" w:after="156"/>
        <w:rPr>
          <w:rFonts w:hint="eastAsia" w:hAnsi="Times New Roman" w:cs="Times New Roman"/>
          <w:highlight w:val="none"/>
          <w:lang w:val="en-US" w:eastAsia="zh-CN"/>
        </w:rPr>
      </w:pPr>
      <w:bookmarkStart w:id="81" w:name="_Toc4046"/>
      <w:bookmarkStart w:id="82" w:name="_Toc16404"/>
      <w:bookmarkStart w:id="83" w:name="_Toc29206"/>
      <w:r>
        <w:rPr>
          <w:rFonts w:hint="eastAsia" w:hAnsi="Times New Roman" w:cs="Times New Roman"/>
          <w:highlight w:val="none"/>
          <w:lang w:val="en-US" w:eastAsia="zh-CN"/>
        </w:rPr>
        <w:t>封样</w:t>
      </w:r>
      <w:bookmarkEnd w:id="81"/>
      <w:bookmarkEnd w:id="82"/>
      <w:bookmarkEnd w:id="83"/>
    </w:p>
    <w:p>
      <w:pPr>
        <w:pStyle w:val="231"/>
        <w:ind w:left="0" w:leftChars="0" w:firstLine="420" w:firstLineChars="200"/>
        <w:rPr>
          <w:rFonts w:hint="eastAsia"/>
          <w:highlight w:val="none"/>
          <w:lang w:eastAsia="zh-CN"/>
        </w:rPr>
      </w:pPr>
      <w:r>
        <w:rPr>
          <w:rFonts w:hint="eastAsia"/>
          <w:highlight w:val="none"/>
        </w:rPr>
        <w:t>抽样人员应当采取有效的防拆封措施，对检验样品和复检备份样品分别封样，并贴上《食品安全抽样检验封条》。食用农产品需在实验室均质后留存复检备份样品的，现场还应当填写一份信息完整的封条，并由抽样人员(含参与抽样的监管人员）和被抽样单位签字或者盖章确认，用于封存均质后的备份样品</w:t>
      </w:r>
      <w:r>
        <w:rPr>
          <w:rFonts w:hint="eastAsia"/>
          <w:highlight w:val="none"/>
          <w:lang w:eastAsia="zh-CN"/>
        </w:rPr>
        <w:t>。</w:t>
      </w:r>
    </w:p>
    <w:p>
      <w:pPr>
        <w:pStyle w:val="231"/>
        <w:ind w:left="0" w:leftChars="0" w:firstLine="420" w:firstLineChars="200"/>
        <w:rPr>
          <w:rFonts w:hint="eastAsia" w:eastAsia="宋体"/>
          <w:highlight w:val="none"/>
          <w:lang w:eastAsia="zh-CN"/>
        </w:rPr>
      </w:pPr>
      <w:r>
        <w:rPr>
          <w:rFonts w:hint="eastAsia"/>
          <w:highlight w:val="none"/>
          <w:lang w:eastAsia="zh-CN"/>
        </w:rPr>
        <w:t>封条上应由被抽样单位和抽样人员（含参与抽样单监管人员）双方签字或盖章确认，注明抽样日期、抽样单编号等。检验样品、备份样品应分别封样，由承检机构保存。封条的材质、格式(横式或坚式)、尺寸大小可由抽样单位根据需要确定。</w:t>
      </w:r>
    </w:p>
    <w:p>
      <w:pPr>
        <w:pStyle w:val="66"/>
        <w:spacing w:before="156" w:after="156"/>
        <w:rPr>
          <w:rFonts w:hint="eastAsia" w:hAnsi="Times New Roman" w:cs="Times New Roman"/>
          <w:highlight w:val="none"/>
          <w:lang w:val="en-US" w:eastAsia="zh-CN"/>
        </w:rPr>
      </w:pPr>
      <w:bookmarkStart w:id="84" w:name="_Toc18174"/>
      <w:bookmarkStart w:id="85" w:name="_Toc20229"/>
      <w:bookmarkStart w:id="86" w:name="_Toc23014"/>
      <w:r>
        <w:rPr>
          <w:rFonts w:hint="eastAsia" w:hAnsi="Times New Roman" w:cs="Times New Roman"/>
          <w:highlight w:val="none"/>
          <w:lang w:val="en-US" w:eastAsia="zh-CN"/>
        </w:rPr>
        <w:t>现场信息采集</w:t>
      </w:r>
      <w:bookmarkEnd w:id="84"/>
      <w:bookmarkEnd w:id="85"/>
      <w:bookmarkEnd w:id="86"/>
    </w:p>
    <w:p>
      <w:pPr>
        <w:pStyle w:val="231"/>
        <w:ind w:left="0" w:leftChars="0" w:firstLine="420" w:firstLineChars="200"/>
        <w:rPr>
          <w:highlight w:val="none"/>
        </w:rPr>
      </w:pPr>
      <w:r>
        <w:rPr>
          <w:rFonts w:hint="eastAsia"/>
          <w:highlight w:val="none"/>
        </w:rPr>
        <w:t>抽样人员应当通过拍照等方式对抽样场所、贮存环境、样品信息等进行现场信息采集。现场采集的信息应包括：</w:t>
      </w:r>
    </w:p>
    <w:p>
      <w:pPr>
        <w:pStyle w:val="239"/>
        <w:numPr>
          <w:ilvl w:val="0"/>
          <w:numId w:val="37"/>
        </w:numPr>
        <w:tabs>
          <w:tab w:val="left" w:pos="851"/>
        </w:tabs>
        <w:ind w:left="839" w:hanging="419"/>
        <w:rPr>
          <w:highlight w:val="none"/>
        </w:rPr>
      </w:pPr>
      <w:r>
        <w:rPr>
          <w:rFonts w:hint="eastAsia"/>
          <w:highlight w:val="none"/>
          <w:lang w:eastAsia="zh-CN"/>
        </w:rPr>
        <w:t>被抽样单位外观照片，如门牌、招牌或摊位号等信息；</w:t>
      </w:r>
    </w:p>
    <w:p>
      <w:pPr>
        <w:pStyle w:val="239"/>
        <w:numPr>
          <w:ilvl w:val="0"/>
          <w:numId w:val="13"/>
        </w:numPr>
        <w:ind w:left="839" w:hanging="419"/>
        <w:rPr>
          <w:highlight w:val="none"/>
        </w:rPr>
      </w:pPr>
      <w:r>
        <w:rPr>
          <w:rFonts w:hint="eastAsia"/>
          <w:highlight w:val="none"/>
        </w:rPr>
        <w:t>被抽样单位营业执照、许可证、备案凭证等资质证明文件照片；</w:t>
      </w:r>
    </w:p>
    <w:p>
      <w:pPr>
        <w:pStyle w:val="239"/>
        <w:numPr>
          <w:ilvl w:val="0"/>
          <w:numId w:val="13"/>
        </w:numPr>
        <w:ind w:left="839" w:hanging="419"/>
        <w:rPr>
          <w:highlight w:val="none"/>
        </w:rPr>
      </w:pPr>
      <w:r>
        <w:rPr>
          <w:rFonts w:hint="eastAsia" w:ascii="Times New Roman" w:hAnsi="Times New Roman" w:eastAsia="宋体" w:cs="Times New Roman"/>
          <w:szCs w:val="30"/>
          <w:highlight w:val="none"/>
          <w:lang w:val="en-US" w:eastAsia="zh-CN"/>
        </w:rPr>
        <w:t>样品贮存环境</w:t>
      </w:r>
      <w:r>
        <w:rPr>
          <w:rFonts w:hint="eastAsia" w:ascii="Times New Roman" w:hAnsi="Times New Roman" w:cs="Times New Roman"/>
          <w:szCs w:val="30"/>
          <w:highlight w:val="none"/>
          <w:lang w:val="en-US" w:eastAsia="zh-CN"/>
        </w:rPr>
        <w:t>；</w:t>
      </w:r>
    </w:p>
    <w:p>
      <w:pPr>
        <w:pStyle w:val="239"/>
        <w:numPr>
          <w:ilvl w:val="0"/>
          <w:numId w:val="13"/>
        </w:numPr>
        <w:ind w:left="839" w:hanging="419"/>
        <w:rPr>
          <w:highlight w:val="none"/>
        </w:rPr>
      </w:pPr>
      <w:r>
        <w:rPr>
          <w:rFonts w:hint="eastAsia"/>
          <w:highlight w:val="none"/>
        </w:rPr>
        <w:t>被抽样品完整包装（标签）信息</w:t>
      </w:r>
      <w:r>
        <w:rPr>
          <w:rFonts w:hint="eastAsia"/>
          <w:highlight w:val="none"/>
          <w:lang w:eastAsia="zh-CN"/>
        </w:rPr>
        <w:t>；</w:t>
      </w:r>
    </w:p>
    <w:p>
      <w:pPr>
        <w:pStyle w:val="239"/>
        <w:numPr>
          <w:ilvl w:val="0"/>
          <w:numId w:val="13"/>
        </w:numPr>
        <w:ind w:left="839" w:hanging="419"/>
        <w:rPr>
          <w:highlight w:val="none"/>
        </w:rPr>
      </w:pPr>
      <w:r>
        <w:rPr>
          <w:rFonts w:hint="eastAsia"/>
          <w:highlight w:val="none"/>
        </w:rPr>
        <w:t>抽取食用农产品时，还应采集承诺达标合格证、检验检疫票据、进货凭证等信息；</w:t>
      </w:r>
    </w:p>
    <w:p>
      <w:pPr>
        <w:pStyle w:val="239"/>
        <w:numPr>
          <w:ilvl w:val="0"/>
          <w:numId w:val="13"/>
        </w:numPr>
        <w:ind w:left="839" w:hanging="419"/>
        <w:rPr>
          <w:highlight w:val="none"/>
        </w:rPr>
      </w:pPr>
      <w:r>
        <w:rPr>
          <w:rFonts w:hint="eastAsia"/>
          <w:highlight w:val="none"/>
        </w:rPr>
        <w:t>有特殊储运要求的样品应当同时包含样品采取的防护措施。</w:t>
      </w:r>
    </w:p>
    <w:p>
      <w:pPr>
        <w:pStyle w:val="231"/>
        <w:ind w:left="0" w:leftChars="0" w:firstLine="420" w:firstLineChars="200"/>
        <w:rPr>
          <w:highlight w:val="none"/>
        </w:rPr>
      </w:pPr>
      <w:r>
        <w:rPr>
          <w:rFonts w:hint="eastAsia"/>
          <w:highlight w:val="none"/>
        </w:rPr>
        <w:t>采集的信息还可包括：</w:t>
      </w:r>
    </w:p>
    <w:p>
      <w:pPr>
        <w:pStyle w:val="239"/>
        <w:numPr>
          <w:ilvl w:val="0"/>
          <w:numId w:val="38"/>
        </w:numPr>
        <w:tabs>
          <w:tab w:val="left" w:pos="851"/>
        </w:tabs>
        <w:ind w:left="839" w:hanging="419"/>
        <w:rPr>
          <w:highlight w:val="none"/>
        </w:rPr>
      </w:pPr>
      <w:r>
        <w:rPr>
          <w:rFonts w:hint="eastAsia"/>
          <w:highlight w:val="none"/>
          <w:lang w:eastAsia="zh-CN"/>
        </w:rPr>
        <w:t>抽样人员现场抽取样品的照片；</w:t>
      </w:r>
    </w:p>
    <w:p>
      <w:pPr>
        <w:pStyle w:val="239"/>
        <w:numPr>
          <w:ilvl w:val="0"/>
          <w:numId w:val="13"/>
        </w:numPr>
        <w:ind w:left="839" w:hanging="419"/>
        <w:rPr>
          <w:highlight w:val="none"/>
        </w:rPr>
      </w:pPr>
      <w:r>
        <w:rPr>
          <w:rFonts w:hint="eastAsia"/>
          <w:highlight w:val="none"/>
        </w:rPr>
        <w:t>封样完毕后，所封样品码放整齐后的外观照片和封条近照</w:t>
      </w:r>
      <w:r>
        <w:rPr>
          <w:rFonts w:hint="eastAsia"/>
          <w:highlight w:val="none"/>
          <w:lang w:eastAsia="zh-CN"/>
        </w:rPr>
        <w:t>；</w:t>
      </w:r>
    </w:p>
    <w:p>
      <w:pPr>
        <w:pStyle w:val="239"/>
        <w:numPr>
          <w:ilvl w:val="0"/>
          <w:numId w:val="13"/>
        </w:numPr>
        <w:ind w:left="839" w:hanging="419"/>
        <w:rPr>
          <w:highlight w:val="none"/>
        </w:rPr>
      </w:pPr>
      <w:r>
        <w:rPr>
          <w:rFonts w:hint="eastAsia" w:ascii="Times New Roman" w:hAnsi="Times New Roman" w:cs="Times New Roman"/>
          <w:szCs w:val="30"/>
          <w:highlight w:val="none"/>
          <w:lang w:val="en-US" w:eastAsia="zh-CN"/>
        </w:rPr>
        <w:t>同时包含所封样品、抽样人员和被抽样单位人员的照片；</w:t>
      </w:r>
    </w:p>
    <w:p>
      <w:pPr>
        <w:pStyle w:val="239"/>
        <w:numPr>
          <w:ilvl w:val="0"/>
          <w:numId w:val="13"/>
        </w:numPr>
        <w:ind w:left="839" w:hanging="419"/>
        <w:rPr>
          <w:highlight w:val="none"/>
        </w:rPr>
      </w:pPr>
      <w:r>
        <w:rPr>
          <w:rFonts w:hint="eastAsia"/>
          <w:highlight w:val="none"/>
        </w:rPr>
        <w:t>样品购置发票或相关购物凭证；</w:t>
      </w:r>
    </w:p>
    <w:p>
      <w:pPr>
        <w:pStyle w:val="239"/>
        <w:numPr>
          <w:ilvl w:val="0"/>
          <w:numId w:val="13"/>
        </w:numPr>
        <w:ind w:left="839" w:hanging="419"/>
        <w:rPr>
          <w:highlight w:val="none"/>
        </w:rPr>
      </w:pPr>
      <w:r>
        <w:rPr>
          <w:rFonts w:hint="eastAsia"/>
          <w:highlight w:val="none"/>
        </w:rPr>
        <w:t>其他需要采集的信息。</w:t>
      </w:r>
    </w:p>
    <w:p>
      <w:pPr>
        <w:pStyle w:val="239"/>
        <w:numPr>
          <w:ilvl w:val="0"/>
          <w:numId w:val="0"/>
        </w:numPr>
        <w:ind w:firstLine="420" w:firstLineChars="200"/>
        <w:rPr>
          <w:rFonts w:hint="eastAsia"/>
          <w:color w:val="FF0000"/>
          <w:highlight w:val="none"/>
        </w:rPr>
      </w:pPr>
      <w:r>
        <w:rPr>
          <w:rFonts w:hint="eastAsia"/>
          <w:highlight w:val="none"/>
        </w:rPr>
        <w:t>抽样过程原则上应全程录像，视频记录应包括抽样前告知、样品抽取、封样、所抽样品放入冷藏设备等关键过程。</w:t>
      </w:r>
    </w:p>
    <w:p>
      <w:pPr>
        <w:pStyle w:val="66"/>
        <w:spacing w:before="156" w:after="156"/>
        <w:rPr>
          <w:rFonts w:hint="eastAsia" w:hAnsi="Times New Roman" w:cs="Times New Roman"/>
          <w:highlight w:val="none"/>
          <w:lang w:val="en-US" w:eastAsia="zh-CN"/>
        </w:rPr>
      </w:pPr>
      <w:bookmarkStart w:id="87" w:name="_Toc2828"/>
      <w:bookmarkStart w:id="88" w:name="_Toc27929"/>
      <w:bookmarkStart w:id="89" w:name="_Toc9674"/>
      <w:r>
        <w:rPr>
          <w:rFonts w:hint="eastAsia" w:hAnsi="Times New Roman" w:cs="Times New Roman"/>
          <w:highlight w:val="none"/>
          <w:lang w:val="en-US" w:eastAsia="zh-CN"/>
        </w:rPr>
        <w:t>购样费用支付</w:t>
      </w:r>
      <w:bookmarkEnd w:id="87"/>
      <w:bookmarkEnd w:id="88"/>
      <w:bookmarkEnd w:id="89"/>
    </w:p>
    <w:p>
      <w:pPr>
        <w:pStyle w:val="231"/>
        <w:ind w:left="0" w:leftChars="0" w:firstLine="420" w:firstLineChars="200"/>
        <w:rPr>
          <w:highlight w:val="none"/>
        </w:rPr>
      </w:pPr>
      <w:r>
        <w:rPr>
          <w:rFonts w:hint="eastAsia"/>
          <w:highlight w:val="none"/>
        </w:rPr>
        <w:t>食品安全抽样检验应当支付样品费用，不得向被抽样单位收取检验费和其他任何费用。购买样品须向被抽样单位索取发票（或相关购物凭证）及所购样品明细，可现场支付费用或先出具《食品安全抽样检验样品购置费用告知书》，随后支付费用。</w:t>
      </w:r>
    </w:p>
    <w:p>
      <w:pPr>
        <w:pStyle w:val="66"/>
        <w:spacing w:before="156" w:after="156"/>
        <w:rPr>
          <w:rFonts w:hint="eastAsia" w:hAnsi="Times New Roman" w:cs="Times New Roman"/>
          <w:highlight w:val="none"/>
          <w:lang w:val="en-US" w:eastAsia="zh-CN"/>
        </w:rPr>
      </w:pPr>
      <w:bookmarkStart w:id="90" w:name="_Toc669"/>
      <w:bookmarkStart w:id="91" w:name="_Toc20117"/>
      <w:bookmarkStart w:id="92" w:name="_Toc20849"/>
      <w:r>
        <w:rPr>
          <w:rFonts w:hint="eastAsia" w:hAnsi="Times New Roman" w:cs="Times New Roman"/>
          <w:highlight w:val="none"/>
          <w:lang w:val="en-US" w:eastAsia="zh-CN"/>
        </w:rPr>
        <w:t>抽样文书填写及交付</w:t>
      </w:r>
      <w:bookmarkEnd w:id="90"/>
      <w:bookmarkEnd w:id="91"/>
      <w:bookmarkEnd w:id="92"/>
    </w:p>
    <w:p>
      <w:pPr>
        <w:pStyle w:val="231"/>
        <w:ind w:left="0" w:leftChars="0" w:firstLine="420" w:firstLineChars="200"/>
        <w:rPr>
          <w:rFonts w:hint="eastAsia"/>
          <w:highlight w:val="none"/>
        </w:rPr>
      </w:pPr>
      <w:r>
        <w:rPr>
          <w:rFonts w:hint="eastAsia"/>
          <w:highlight w:val="none"/>
        </w:rPr>
        <w:t>抽样人员应使用《食品安全抽样检验抽样单》，详细记录抽样信息。抽样文书应当字迹工整、清晰，容易辨认，不得随意更改。抽样单填写完毕后，应当由抽样人员（含参与抽样的监管人员）和被抽样单位签字或盖章确认。如需更改信息应当由被抽样单位确认，其中营业执照</w:t>
      </w:r>
      <w:r>
        <w:rPr>
          <w:rFonts w:hint="eastAsia"/>
          <w:highlight w:val="none"/>
          <w:lang w:eastAsia="zh-CN"/>
        </w:rPr>
        <w:t>、</w:t>
      </w:r>
      <w:r>
        <w:rPr>
          <w:rFonts w:hint="eastAsia"/>
          <w:highlight w:val="none"/>
        </w:rPr>
        <w:t>经营许可证、生产许可证等证照信息以及样品标称信息如需更改，由两名抽样人员签字或抽样单位盖章确认即可。</w:t>
      </w:r>
    </w:p>
    <w:p>
      <w:pPr>
        <w:pStyle w:val="231"/>
        <w:ind w:left="0" w:leftChars="0" w:firstLine="420" w:firstLineChars="200"/>
        <w:rPr>
          <w:rFonts w:hint="eastAsia"/>
          <w:highlight w:val="none"/>
        </w:rPr>
      </w:pPr>
      <w:r>
        <w:rPr>
          <w:rFonts w:hint="eastAsia"/>
          <w:highlight w:val="none"/>
        </w:rPr>
        <w:t>抽样人员应当将填写完整的《食品安全抽样检验告知书》《食品安全抽样检验抽样单》《食品安全抽样检验样品购置费用告知书》（如有）和《食品安全抽样检验工作质量及工作纪律反馈单》交付被抽样单位进行确认，并让被抽样单位签字或盖章，</w:t>
      </w:r>
      <w:r>
        <w:rPr>
          <w:rFonts w:hint="eastAsia"/>
          <w:highlight w:val="none"/>
          <w:lang w:val="en-US" w:eastAsia="zh-CN"/>
        </w:rPr>
        <w:t>同时</w:t>
      </w:r>
      <w:r>
        <w:rPr>
          <w:rFonts w:hint="eastAsia"/>
          <w:highlight w:val="none"/>
        </w:rPr>
        <w:t>将被抽样单位在《食品安全抽样检验工作质量及工作纪律反馈单》上填写完整的回执单收回。</w:t>
      </w:r>
    </w:p>
    <w:p>
      <w:pPr>
        <w:pStyle w:val="66"/>
        <w:spacing w:before="156" w:after="156"/>
        <w:rPr>
          <w:rFonts w:hint="eastAsia" w:hAnsi="Times New Roman" w:cs="Times New Roman"/>
          <w:highlight w:val="none"/>
          <w:lang w:val="en-US" w:eastAsia="zh-CN"/>
        </w:rPr>
      </w:pPr>
      <w:bookmarkStart w:id="93" w:name="_Toc19168"/>
      <w:bookmarkStart w:id="94" w:name="_Toc3821"/>
      <w:bookmarkStart w:id="95" w:name="_Toc11133"/>
      <w:r>
        <w:rPr>
          <w:rFonts w:hint="eastAsia" w:hAnsi="Times New Roman" w:cs="Times New Roman"/>
          <w:highlight w:val="none"/>
          <w:lang w:val="en-US" w:eastAsia="zh-CN"/>
        </w:rPr>
        <w:t>样品贮存和运输</w:t>
      </w:r>
      <w:bookmarkEnd w:id="93"/>
      <w:bookmarkEnd w:id="94"/>
      <w:bookmarkEnd w:id="95"/>
    </w:p>
    <w:p>
      <w:pPr>
        <w:pStyle w:val="165"/>
        <w:rPr>
          <w:highlight w:val="none"/>
        </w:rPr>
      </w:pPr>
      <w:r>
        <w:rPr>
          <w:rFonts w:hint="eastAsia"/>
          <w:highlight w:val="none"/>
        </w:rPr>
        <w:t>抽取的样品应当由抽样人员携带或寄送至承检机构，不得由被抽样单位自行寄送样品。原则上样品应当在抽样完成后五个工作日内移交承检机构。食品安全标准或其他相关规定对样品运输有特殊时限要求的，从其要求。因客观原因需延长送样期限的，应当经组织实施抽样检验工作的市场监管部门同意。</w:t>
      </w:r>
    </w:p>
    <w:p>
      <w:pPr>
        <w:pStyle w:val="165"/>
        <w:rPr>
          <w:highlight w:val="none"/>
        </w:rPr>
      </w:pPr>
      <w:r>
        <w:rPr>
          <w:rFonts w:hint="eastAsia"/>
          <w:highlight w:val="none"/>
        </w:rPr>
        <w:t>抽样人员应当根据样品特性和检验目的进行合理贮存</w:t>
      </w:r>
      <w:r>
        <w:rPr>
          <w:rFonts w:hint="eastAsia"/>
          <w:highlight w:val="none"/>
          <w:lang w:eastAsia="zh-CN"/>
        </w:rPr>
        <w:t>、</w:t>
      </w:r>
      <w:r>
        <w:rPr>
          <w:rFonts w:hint="eastAsia"/>
          <w:highlight w:val="none"/>
        </w:rPr>
        <w:t>运输。对于易碎</w:t>
      </w:r>
      <w:r>
        <w:rPr>
          <w:rFonts w:hint="eastAsia"/>
          <w:highlight w:val="none"/>
          <w:lang w:eastAsia="zh-CN"/>
        </w:rPr>
        <w:t>、</w:t>
      </w:r>
      <w:r>
        <w:rPr>
          <w:rFonts w:hint="eastAsia"/>
          <w:highlight w:val="none"/>
        </w:rPr>
        <w:t>冷藏、冷冻或有其他特殊贮运条件等要求的样品抽样人员应当采取适当措施，保证样品运输过程符合标准或样品标示要求的运输条件。</w:t>
      </w:r>
    </w:p>
    <w:p>
      <w:pPr>
        <w:pStyle w:val="66"/>
        <w:spacing w:before="156" w:after="156"/>
        <w:rPr>
          <w:rFonts w:hint="eastAsia" w:hAnsi="Times New Roman" w:cs="Times New Roman"/>
          <w:highlight w:val="none"/>
          <w:lang w:val="en-US" w:eastAsia="zh-CN"/>
        </w:rPr>
      </w:pPr>
      <w:bookmarkStart w:id="96" w:name="_Toc22745"/>
      <w:bookmarkStart w:id="97" w:name="_Toc11226"/>
      <w:bookmarkStart w:id="98" w:name="_Toc28454"/>
      <w:r>
        <w:rPr>
          <w:rFonts w:hint="eastAsia" w:hAnsi="Times New Roman" w:cs="Times New Roman"/>
          <w:highlight w:val="none"/>
          <w:lang w:val="en-US" w:eastAsia="zh-CN"/>
        </w:rPr>
        <w:t>拒绝抽样的处理</w:t>
      </w:r>
      <w:bookmarkEnd w:id="96"/>
      <w:bookmarkEnd w:id="97"/>
      <w:bookmarkEnd w:id="98"/>
    </w:p>
    <w:p>
      <w:pPr>
        <w:pStyle w:val="231"/>
        <w:ind w:left="0" w:leftChars="0" w:firstLine="420" w:firstLineChars="200"/>
        <w:rPr>
          <w:rFonts w:hint="eastAsia"/>
          <w:highlight w:val="none"/>
          <w:lang w:eastAsia="zh-CN"/>
        </w:rPr>
      </w:pPr>
      <w:r>
        <w:rPr>
          <w:rFonts w:hint="eastAsia"/>
          <w:highlight w:val="none"/>
          <w:lang w:eastAsia="zh-CN"/>
        </w:rPr>
        <w:t>被抽样单位无正当理由拒绝或阻挠食品安全抽样工作的，抽样人员应当保存相关证据材料，如实做好情况记录，告知拒绝抽样的后果，填写《食品安全抽样检验拒绝抽样情况说明》，说明被抽样单位拒绝抽样的情况，由有管辖权的市场监管部门对被抽样单位依法处理，并及时报送委托抽样的市场监督管理部门。</w:t>
      </w:r>
    </w:p>
    <w:p>
      <w:pPr>
        <w:pStyle w:val="66"/>
        <w:spacing w:before="156" w:after="156"/>
        <w:rPr>
          <w:rFonts w:hint="eastAsia" w:hAnsi="Times New Roman" w:cs="Times New Roman"/>
          <w:highlight w:val="none"/>
          <w:lang w:val="en-US" w:eastAsia="zh-CN"/>
        </w:rPr>
      </w:pPr>
      <w:bookmarkStart w:id="99" w:name="_Toc26299"/>
      <w:bookmarkStart w:id="100" w:name="_Toc7943"/>
      <w:bookmarkStart w:id="101" w:name="_Toc25708"/>
      <w:r>
        <w:rPr>
          <w:rFonts w:hint="eastAsia" w:hAnsi="Times New Roman" w:cs="Times New Roman"/>
          <w:highlight w:val="none"/>
          <w:lang w:val="en-US" w:eastAsia="zh-CN"/>
        </w:rPr>
        <w:t>不予抽样的情形</w:t>
      </w:r>
      <w:bookmarkEnd w:id="99"/>
      <w:bookmarkEnd w:id="100"/>
      <w:bookmarkEnd w:id="101"/>
    </w:p>
    <w:p>
      <w:pPr>
        <w:pStyle w:val="231"/>
        <w:ind w:left="0" w:leftChars="0" w:firstLine="420" w:firstLineChars="200"/>
        <w:rPr>
          <w:highlight w:val="none"/>
        </w:rPr>
      </w:pPr>
      <w:r>
        <w:rPr>
          <w:rFonts w:hint="eastAsia"/>
          <w:highlight w:val="none"/>
          <w:lang w:eastAsia="zh-CN"/>
        </w:rPr>
        <w:t>遇有下列情况之一且能提供有效证明的，不予抽样：</w:t>
      </w:r>
    </w:p>
    <w:p>
      <w:pPr>
        <w:pStyle w:val="239"/>
        <w:numPr>
          <w:ilvl w:val="0"/>
          <w:numId w:val="39"/>
        </w:numPr>
        <w:tabs>
          <w:tab w:val="left" w:pos="851"/>
        </w:tabs>
        <w:ind w:left="839" w:hanging="419"/>
        <w:rPr>
          <w:highlight w:val="none"/>
        </w:rPr>
      </w:pPr>
      <w:r>
        <w:rPr>
          <w:rFonts w:hint="eastAsia"/>
          <w:highlight w:val="none"/>
          <w:lang w:eastAsia="zh-CN"/>
        </w:rPr>
        <w:t>食品标签、包装、说明书标有“试制”或者“样品”等字样的；</w:t>
      </w:r>
    </w:p>
    <w:p>
      <w:pPr>
        <w:pStyle w:val="239"/>
        <w:numPr>
          <w:ilvl w:val="0"/>
          <w:numId w:val="13"/>
        </w:numPr>
        <w:ind w:left="839" w:hanging="419"/>
        <w:rPr>
          <w:rFonts w:hint="eastAsia"/>
          <w:highlight w:val="none"/>
          <w:lang w:eastAsia="zh-CN"/>
        </w:rPr>
      </w:pPr>
      <w:r>
        <w:rPr>
          <w:rFonts w:hint="eastAsia"/>
          <w:highlight w:val="none"/>
        </w:rPr>
        <w:t>拟抽样的食品全部用于出口的；</w:t>
      </w:r>
    </w:p>
    <w:p>
      <w:pPr>
        <w:pStyle w:val="239"/>
        <w:numPr>
          <w:ilvl w:val="0"/>
          <w:numId w:val="13"/>
        </w:numPr>
        <w:ind w:left="839" w:hanging="419"/>
        <w:rPr>
          <w:rFonts w:hint="eastAsia" w:eastAsia="宋体"/>
          <w:highlight w:val="none"/>
          <w:lang w:eastAsia="zh-CN"/>
        </w:rPr>
      </w:pPr>
      <w:r>
        <w:rPr>
          <w:rFonts w:hint="eastAsia"/>
          <w:highlight w:val="none"/>
          <w:lang w:eastAsia="zh-CN"/>
        </w:rPr>
        <w:t>拟抽样检验的食品由被抽样单位停止销售、单独存放、明确标注封存待处置的；</w:t>
      </w:r>
    </w:p>
    <w:p>
      <w:pPr>
        <w:pStyle w:val="239"/>
        <w:numPr>
          <w:ilvl w:val="0"/>
          <w:numId w:val="13"/>
        </w:numPr>
        <w:ind w:left="839" w:hanging="419"/>
        <w:rPr>
          <w:rFonts w:hint="eastAsia" w:eastAsia="宋体"/>
          <w:highlight w:val="none"/>
          <w:lang w:eastAsia="zh-CN"/>
        </w:rPr>
      </w:pPr>
      <w:r>
        <w:rPr>
          <w:rFonts w:hint="eastAsia"/>
          <w:highlight w:val="none"/>
          <w:lang w:eastAsia="zh-CN"/>
        </w:rPr>
        <w:t>法律、法规和规章规定的其他情形。</w:t>
      </w:r>
    </w:p>
    <w:p>
      <w:pPr>
        <w:pStyle w:val="66"/>
        <w:spacing w:before="156" w:after="156"/>
        <w:rPr>
          <w:rFonts w:hint="eastAsia" w:hAnsi="Times New Roman" w:cs="Times New Roman"/>
          <w:highlight w:val="none"/>
          <w:lang w:val="en-US" w:eastAsia="zh-CN"/>
        </w:rPr>
      </w:pPr>
      <w:bookmarkStart w:id="102" w:name="_Toc18782"/>
      <w:bookmarkStart w:id="103" w:name="_Toc4728"/>
      <w:bookmarkStart w:id="104" w:name="_Toc5278"/>
      <w:r>
        <w:rPr>
          <w:rFonts w:hint="eastAsia" w:hAnsi="Times New Roman" w:cs="Times New Roman"/>
          <w:highlight w:val="none"/>
          <w:lang w:val="en-US" w:eastAsia="zh-CN"/>
        </w:rPr>
        <w:t>拒绝抽样的处理特殊情况的处置和上报</w:t>
      </w:r>
      <w:bookmarkEnd w:id="102"/>
      <w:bookmarkEnd w:id="103"/>
      <w:bookmarkEnd w:id="104"/>
    </w:p>
    <w:p>
      <w:pPr>
        <w:pStyle w:val="231"/>
        <w:ind w:left="0" w:leftChars="0" w:firstLine="420" w:firstLineChars="200"/>
        <w:rPr>
          <w:rFonts w:hint="eastAsia"/>
          <w:highlight w:val="none"/>
          <w:lang w:eastAsia="zh-CN"/>
        </w:rPr>
      </w:pPr>
      <w:r>
        <w:rPr>
          <w:rFonts w:hint="eastAsia"/>
          <w:highlight w:val="none"/>
          <w:lang w:eastAsia="zh-CN"/>
        </w:rPr>
        <w:t>抽样时,发现被抽样单位有下列情况之一的，原则上应当停止抽样，及时依法处置或报告有管辖权的市场监管部门：</w:t>
      </w:r>
    </w:p>
    <w:p>
      <w:pPr>
        <w:pStyle w:val="239"/>
        <w:numPr>
          <w:ilvl w:val="0"/>
          <w:numId w:val="40"/>
        </w:numPr>
        <w:tabs>
          <w:tab w:val="left" w:pos="851"/>
        </w:tabs>
        <w:ind w:left="839" w:hanging="419"/>
        <w:rPr>
          <w:rFonts w:hint="eastAsia" w:hAnsi="Times New Roman" w:cs="Times New Roman"/>
          <w:highlight w:val="none"/>
          <w:lang w:eastAsia="zh-CN"/>
        </w:rPr>
      </w:pPr>
      <w:r>
        <w:rPr>
          <w:rFonts w:hint="eastAsia" w:hAnsi="Times New Roman" w:cs="Times New Roman"/>
          <w:highlight w:val="none"/>
          <w:lang w:eastAsia="zh-CN"/>
        </w:rPr>
        <w:t>被抽样单位不具备生产经营被抽样品所应当具备的合法资质；</w:t>
      </w:r>
    </w:p>
    <w:p>
      <w:pPr>
        <w:pStyle w:val="239"/>
        <w:numPr>
          <w:ilvl w:val="0"/>
          <w:numId w:val="40"/>
        </w:numPr>
        <w:tabs>
          <w:tab w:val="left" w:pos="851"/>
        </w:tabs>
        <w:ind w:left="839" w:hanging="419"/>
        <w:rPr>
          <w:rFonts w:hint="eastAsia"/>
          <w:highlight w:val="none"/>
          <w:lang w:eastAsia="zh-CN"/>
        </w:rPr>
      </w:pPr>
      <w:r>
        <w:rPr>
          <w:rFonts w:hint="eastAsia" w:hAnsi="Times New Roman" w:cs="Times New Roman"/>
          <w:highlight w:val="none"/>
          <w:lang w:eastAsia="zh-CN"/>
        </w:rPr>
        <w:t>经营超过保质期或已腐败变质食品的；</w:t>
      </w:r>
    </w:p>
    <w:p>
      <w:pPr>
        <w:pStyle w:val="239"/>
        <w:numPr>
          <w:ilvl w:val="0"/>
          <w:numId w:val="40"/>
        </w:numPr>
        <w:tabs>
          <w:tab w:val="left" w:pos="851"/>
        </w:tabs>
        <w:ind w:left="839" w:hanging="419"/>
        <w:rPr>
          <w:rFonts w:hint="eastAsia"/>
          <w:highlight w:val="none"/>
          <w:lang w:eastAsia="zh-CN"/>
        </w:rPr>
      </w:pPr>
      <w:r>
        <w:rPr>
          <w:rFonts w:hint="eastAsia"/>
          <w:highlight w:val="none"/>
          <w:lang w:eastAsia="zh-CN"/>
        </w:rPr>
        <w:t>生产经营的食品及原料无合法来源的；</w:t>
      </w:r>
    </w:p>
    <w:p>
      <w:pPr>
        <w:pStyle w:val="239"/>
        <w:numPr>
          <w:ilvl w:val="0"/>
          <w:numId w:val="40"/>
        </w:numPr>
        <w:tabs>
          <w:tab w:val="left" w:pos="851"/>
        </w:tabs>
        <w:ind w:left="839" w:hanging="419"/>
        <w:rPr>
          <w:rFonts w:hint="eastAsia"/>
          <w:highlight w:val="none"/>
          <w:lang w:eastAsia="zh-CN"/>
        </w:rPr>
      </w:pPr>
      <w:r>
        <w:rPr>
          <w:rFonts w:hint="eastAsia"/>
          <w:highlight w:val="none"/>
          <w:lang w:eastAsia="zh-CN"/>
        </w:rPr>
        <w:t>被抽样单位存在明显不符合有关法律法规和部门规章要求的。</w:t>
      </w:r>
    </w:p>
    <w:p>
      <w:pPr>
        <w:pStyle w:val="66"/>
        <w:spacing w:before="156" w:after="156"/>
        <w:rPr>
          <w:rFonts w:hint="eastAsia" w:hAnsi="Times New Roman" w:cs="Times New Roman"/>
          <w:highlight w:val="none"/>
          <w:lang w:val="en-US" w:eastAsia="zh-CN"/>
        </w:rPr>
      </w:pPr>
      <w:bookmarkStart w:id="105" w:name="_Toc30730"/>
      <w:bookmarkStart w:id="106" w:name="_Toc12199"/>
      <w:bookmarkStart w:id="107" w:name="_Toc11316"/>
      <w:r>
        <w:rPr>
          <w:rFonts w:hint="eastAsia" w:hAnsi="Times New Roman" w:cs="Times New Roman"/>
          <w:highlight w:val="none"/>
          <w:lang w:val="en-US" w:eastAsia="zh-CN"/>
        </w:rPr>
        <w:t>风险监测要求</w:t>
      </w:r>
      <w:bookmarkEnd w:id="105"/>
      <w:bookmarkEnd w:id="106"/>
      <w:bookmarkEnd w:id="107"/>
    </w:p>
    <w:p>
      <w:pPr>
        <w:pStyle w:val="239"/>
        <w:numPr>
          <w:ilvl w:val="0"/>
          <w:numId w:val="0"/>
        </w:numPr>
        <w:ind w:firstLine="420" w:firstLineChars="200"/>
        <w:rPr>
          <w:rFonts w:hint="eastAsia"/>
          <w:highlight w:val="none"/>
          <w:lang w:eastAsia="zh-CN"/>
        </w:rPr>
      </w:pPr>
      <w:r>
        <w:rPr>
          <w:rFonts w:hint="eastAsia"/>
          <w:highlight w:val="none"/>
          <w:lang w:eastAsia="zh-CN"/>
        </w:rPr>
        <w:t>风险监测抽样时，不受抽样数量、抽样地点、被抽样单位是否具备合法资质等限制，并可简化告知、现场信息采集等执法相关的程序。</w:t>
      </w:r>
    </w:p>
    <w:p>
      <w:pPr>
        <w:pStyle w:val="66"/>
        <w:spacing w:before="156" w:after="156"/>
        <w:rPr>
          <w:rFonts w:hint="eastAsia" w:hAnsi="Times New Roman" w:cs="Times New Roman"/>
          <w:highlight w:val="none"/>
          <w:lang w:val="en-US" w:eastAsia="zh-CN"/>
        </w:rPr>
      </w:pPr>
      <w:bookmarkStart w:id="108" w:name="_Toc12118"/>
      <w:bookmarkStart w:id="109" w:name="_Toc27513"/>
      <w:bookmarkStart w:id="110" w:name="_Toc21970"/>
      <w:r>
        <w:rPr>
          <w:rFonts w:hint="eastAsia" w:hAnsi="Times New Roman" w:cs="Times New Roman"/>
          <w:highlight w:val="none"/>
          <w:lang w:val="en-US" w:eastAsia="zh-CN"/>
        </w:rPr>
        <w:t>未抽到样品的情况</w:t>
      </w:r>
      <w:bookmarkEnd w:id="108"/>
      <w:bookmarkEnd w:id="109"/>
      <w:bookmarkEnd w:id="110"/>
    </w:p>
    <w:p>
      <w:pPr>
        <w:pStyle w:val="239"/>
        <w:numPr>
          <w:ilvl w:val="0"/>
          <w:numId w:val="0"/>
        </w:numPr>
        <w:ind w:firstLine="420" w:firstLineChars="200"/>
        <w:rPr>
          <w:rFonts w:hint="eastAsia" w:hAnsi="Times New Roman" w:cs="Times New Roman"/>
          <w:color w:val="FF0000"/>
          <w:highlight w:val="none"/>
          <w:lang w:eastAsia="zh-CN"/>
        </w:rPr>
      </w:pPr>
      <w:r>
        <w:rPr>
          <w:rFonts w:hint="eastAsia" w:hAnsi="Times New Roman" w:cs="Times New Roman"/>
          <w:highlight w:val="none"/>
          <w:lang w:eastAsia="zh-CN"/>
        </w:rPr>
        <w:t>被抽样食品生产经营者转产、停产等原因导致无法抽取的食品品种，抽样人员应当收集有关证明材料，如实记录相关情况，并上报委托抽样任务的市场监督管理部门。</w:t>
      </w:r>
    </w:p>
    <w:p>
      <w:pPr>
        <w:pStyle w:val="106"/>
        <w:spacing w:before="156" w:after="156"/>
        <w:rPr>
          <w:highlight w:val="none"/>
        </w:rPr>
      </w:pPr>
      <w:bookmarkStart w:id="111" w:name="_Toc18756"/>
      <w:r>
        <w:rPr>
          <w:rFonts w:hint="eastAsia"/>
          <w:highlight w:val="none"/>
          <w:lang w:val="en-US" w:eastAsia="zh-CN"/>
        </w:rPr>
        <w:t>网络抽样</w:t>
      </w:r>
      <w:bookmarkEnd w:id="111"/>
    </w:p>
    <w:p>
      <w:pPr>
        <w:pStyle w:val="231"/>
        <w:rPr>
          <w:highlight w:val="none"/>
        </w:rPr>
      </w:pPr>
      <w:r>
        <w:rPr>
          <w:rFonts w:hint="eastAsia"/>
          <w:highlight w:val="none"/>
        </w:rPr>
        <w:t>网络抽样的对象是通过网络开展食品交易的经营者,包括网络交易平台经营者、平台内经营者、自建网站经营者以及通过其他网络服务开展网络交易活动的经营者。</w:t>
      </w:r>
    </w:p>
    <w:p>
      <w:pPr>
        <w:pStyle w:val="66"/>
        <w:spacing w:before="156" w:after="156"/>
        <w:rPr>
          <w:rFonts w:hint="default" w:hAnsi="Times New Roman" w:cs="Times New Roman"/>
          <w:highlight w:val="none"/>
          <w:lang w:val="en-US" w:eastAsia="zh-CN"/>
        </w:rPr>
      </w:pPr>
      <w:bookmarkStart w:id="112" w:name="_Toc5130"/>
      <w:bookmarkStart w:id="113" w:name="_Toc18032"/>
      <w:bookmarkStart w:id="114" w:name="_Toc6135"/>
      <w:r>
        <w:rPr>
          <w:rFonts w:hint="eastAsia" w:hAnsi="Times New Roman" w:cs="Times New Roman"/>
          <w:highlight w:val="none"/>
          <w:lang w:val="en-US" w:eastAsia="zh-CN"/>
        </w:rPr>
        <w:t>信息核查</w:t>
      </w:r>
      <w:bookmarkEnd w:id="112"/>
      <w:bookmarkEnd w:id="113"/>
      <w:bookmarkEnd w:id="114"/>
    </w:p>
    <w:p>
      <w:pPr>
        <w:pStyle w:val="57"/>
        <w:ind w:firstLine="420"/>
        <w:rPr>
          <w:rFonts w:hint="eastAsia"/>
          <w:highlight w:val="yellow"/>
          <w:lang w:val="en-US" w:eastAsia="zh-CN"/>
        </w:rPr>
      </w:pPr>
      <w:r>
        <w:rPr>
          <w:rFonts w:hint="eastAsia"/>
          <w:highlight w:val="none"/>
          <w:lang w:val="en-US" w:eastAsia="zh-CN"/>
        </w:rPr>
        <w:t>抽样人员应当确认网络食品交易经营者或食品生产企业(含委托加工方、受委托加工方)中至少有一方处于组织实施抽样检验工作的市场监管部门监管辖区内，同时核查营业执照、许可证等相关证件。原则上应以网购形式抽取网络平台店铺营业执照所在地为本市的产品。</w:t>
      </w:r>
    </w:p>
    <w:p>
      <w:pPr>
        <w:pStyle w:val="66"/>
        <w:spacing w:before="156" w:after="156"/>
        <w:rPr>
          <w:rFonts w:hint="default" w:hAnsi="Times New Roman" w:cs="Times New Roman"/>
          <w:highlight w:val="none"/>
          <w:lang w:val="en-US" w:eastAsia="zh-CN"/>
        </w:rPr>
      </w:pPr>
      <w:bookmarkStart w:id="115" w:name="_Toc23740"/>
      <w:bookmarkStart w:id="116" w:name="_Toc8693"/>
      <w:bookmarkStart w:id="117" w:name="_Toc31338"/>
      <w:r>
        <w:rPr>
          <w:rFonts w:hint="eastAsia" w:hAnsi="Times New Roman" w:cs="Times New Roman"/>
          <w:highlight w:val="none"/>
          <w:lang w:val="en-US" w:eastAsia="zh-CN"/>
        </w:rPr>
        <w:t>样品购买</w:t>
      </w:r>
      <w:bookmarkEnd w:id="115"/>
      <w:bookmarkEnd w:id="116"/>
      <w:bookmarkEnd w:id="117"/>
    </w:p>
    <w:p>
      <w:pPr>
        <w:pStyle w:val="57"/>
        <w:ind w:firstLine="420"/>
        <w:rPr>
          <w:rFonts w:hint="eastAsia"/>
          <w:color w:val="auto"/>
          <w:highlight w:val="none"/>
          <w:lang w:val="en-US" w:eastAsia="zh-CN"/>
        </w:rPr>
      </w:pPr>
      <w:r>
        <w:rPr>
          <w:rFonts w:hint="eastAsia"/>
          <w:highlight w:val="none"/>
          <w:lang w:val="en-US" w:eastAsia="zh-CN"/>
        </w:rPr>
        <w:t>抽样人员使用已备案的账户登录网络交易平台，检索平台内的拟抽检食品，以消费者身份购买样品，使用已备案的付款</w:t>
      </w:r>
      <w:r>
        <w:rPr>
          <w:rFonts w:hint="eastAsia"/>
          <w:color w:val="auto"/>
          <w:highlight w:val="none"/>
          <w:lang w:val="en-US" w:eastAsia="zh-CN"/>
        </w:rPr>
        <w:t>账户向被抽样单位支付费用(含样品费、打包费、运输费等)，索要支付凭证(发票或收据)。被抽样单位无法提供发票或收据的，网络支付截图和订单明细可作为购样凭证。</w:t>
      </w:r>
    </w:p>
    <w:p>
      <w:pPr>
        <w:pStyle w:val="57"/>
        <w:ind w:firstLine="420"/>
        <w:rPr>
          <w:rFonts w:hint="eastAsia"/>
          <w:color w:val="auto"/>
          <w:highlight w:val="none"/>
          <w:lang w:val="en-US" w:eastAsia="zh-CN"/>
        </w:rPr>
      </w:pPr>
      <w:r>
        <w:rPr>
          <w:rFonts w:hint="eastAsia"/>
          <w:color w:val="auto"/>
          <w:highlight w:val="none"/>
          <w:lang w:val="en-US" w:eastAsia="zh-CN"/>
        </w:rPr>
        <w:t>所购买样品应为同一品牌、同一规格、同一生产日期或批号。无包装的食用农产品以收到的同一订单、同一种产品为一个抽样批次。抽样人员可采取适当加大购买数量的方式，抽取到满足检验和复检要求的同批产品。</w:t>
      </w:r>
    </w:p>
    <w:p>
      <w:pPr>
        <w:pStyle w:val="66"/>
        <w:spacing w:before="156" w:after="156"/>
        <w:rPr>
          <w:rFonts w:hint="default" w:hAnsi="Times New Roman" w:cs="Times New Roman"/>
          <w:highlight w:val="none"/>
          <w:lang w:val="en-US" w:eastAsia="zh-CN"/>
        </w:rPr>
      </w:pPr>
      <w:bookmarkStart w:id="118" w:name="_Toc7539"/>
      <w:bookmarkStart w:id="119" w:name="_Toc19049"/>
      <w:r>
        <w:rPr>
          <w:rFonts w:hint="eastAsia" w:cs="Times New Roman"/>
          <w:highlight w:val="none"/>
          <w:lang w:val="en-US" w:eastAsia="zh-CN"/>
        </w:rPr>
        <w:t>特殊情况处理</w:t>
      </w:r>
      <w:bookmarkEnd w:id="118"/>
      <w:bookmarkEnd w:id="119"/>
    </w:p>
    <w:p>
      <w:pPr>
        <w:pStyle w:val="57"/>
        <w:ind w:firstLine="420"/>
        <w:rPr>
          <w:rFonts w:hint="eastAsia"/>
          <w:highlight w:val="none"/>
          <w:lang w:val="en-US" w:eastAsia="zh-CN"/>
        </w:rPr>
      </w:pPr>
      <w:r>
        <w:rPr>
          <w:rFonts w:hint="eastAsia"/>
          <w:highlight w:val="none"/>
          <w:lang w:val="en-US" w:eastAsia="zh-CN"/>
        </w:rPr>
        <w:t>对于收到的食品为不同生产批次的，选取其中满足检验及复检要求的某一批次食品为抽检样品,其余不同批次食品应当单独封样,同复检备份样品一并管理,并在抽样单备注栏说明。</w:t>
      </w:r>
    </w:p>
    <w:p>
      <w:pPr>
        <w:pStyle w:val="57"/>
        <w:ind w:firstLine="420"/>
        <w:rPr>
          <w:rFonts w:hint="eastAsia"/>
          <w:highlight w:val="none"/>
          <w:lang w:val="en-US" w:eastAsia="zh-CN"/>
        </w:rPr>
      </w:pPr>
      <w:r>
        <w:rPr>
          <w:rFonts w:hint="eastAsia"/>
          <w:highlight w:val="none"/>
          <w:lang w:val="en-US" w:eastAsia="zh-CN"/>
        </w:rPr>
        <w:t>若无任何一批次满足检验及复检要求的，抽样单位可向组织实施抽样检验工作的市场监管部门申请调整检验项目等,经同意后可对某一批次样品进行检验。</w:t>
      </w:r>
    </w:p>
    <w:p>
      <w:pPr>
        <w:pStyle w:val="66"/>
        <w:spacing w:before="156" w:after="156"/>
        <w:rPr>
          <w:rFonts w:hint="default" w:hAnsi="Times New Roman" w:cs="Times New Roman"/>
          <w:highlight w:val="none"/>
          <w:lang w:val="en-US" w:eastAsia="zh-CN"/>
        </w:rPr>
      </w:pPr>
      <w:bookmarkStart w:id="120" w:name="_Toc6228"/>
      <w:bookmarkStart w:id="121" w:name="_Toc25697"/>
      <w:bookmarkStart w:id="122" w:name="_Toc11118"/>
      <w:r>
        <w:rPr>
          <w:rFonts w:hint="eastAsia" w:hAnsi="Times New Roman" w:cs="Times New Roman"/>
          <w:highlight w:val="none"/>
          <w:lang w:val="en-US" w:eastAsia="zh-CN"/>
        </w:rPr>
        <w:t>购买过程的信息采集</w:t>
      </w:r>
      <w:bookmarkEnd w:id="120"/>
      <w:bookmarkEnd w:id="121"/>
      <w:bookmarkEnd w:id="122"/>
    </w:p>
    <w:p>
      <w:pPr>
        <w:pStyle w:val="231"/>
        <w:ind w:left="0" w:leftChars="0" w:firstLine="420" w:firstLineChars="200"/>
        <w:rPr>
          <w:highlight w:val="none"/>
        </w:rPr>
      </w:pPr>
      <w:r>
        <w:rPr>
          <w:rFonts w:hint="eastAsia"/>
          <w:highlight w:val="none"/>
          <w:lang w:val="en-US" w:eastAsia="zh-CN"/>
        </w:rPr>
        <w:t>购买样品过程中应当通过截图、拍照或者录像等方式采集以下信息：</w:t>
      </w:r>
    </w:p>
    <w:p>
      <w:pPr>
        <w:pStyle w:val="239"/>
        <w:numPr>
          <w:ilvl w:val="0"/>
          <w:numId w:val="41"/>
        </w:numPr>
        <w:tabs>
          <w:tab w:val="left" w:pos="851"/>
        </w:tabs>
        <w:ind w:left="839" w:hanging="419"/>
        <w:rPr>
          <w:highlight w:val="none"/>
        </w:rPr>
      </w:pPr>
      <w:r>
        <w:rPr>
          <w:rFonts w:hint="eastAsia"/>
          <w:highlight w:val="none"/>
          <w:lang w:eastAsia="zh-CN"/>
        </w:rPr>
        <w:t>样品网页展示信息，应当包括网店名称、网址、食品名称、规格型号、单价等；</w:t>
      </w:r>
    </w:p>
    <w:p>
      <w:pPr>
        <w:pStyle w:val="239"/>
        <w:numPr>
          <w:ilvl w:val="0"/>
          <w:numId w:val="41"/>
        </w:numPr>
        <w:tabs>
          <w:tab w:val="left" w:pos="851"/>
        </w:tabs>
        <w:ind w:left="839" w:hanging="419"/>
        <w:rPr>
          <w:highlight w:val="none"/>
        </w:rPr>
      </w:pPr>
      <w:r>
        <w:rPr>
          <w:rFonts w:hint="eastAsia"/>
          <w:highlight w:val="none"/>
          <w:lang w:eastAsia="zh-CN"/>
        </w:rPr>
        <w:t>网页上显示的被抽样单位营业执照、许可证等证件；</w:t>
      </w:r>
    </w:p>
    <w:p>
      <w:pPr>
        <w:pStyle w:val="239"/>
        <w:numPr>
          <w:ilvl w:val="0"/>
          <w:numId w:val="41"/>
        </w:numPr>
        <w:tabs>
          <w:tab w:val="left" w:pos="851"/>
        </w:tabs>
        <w:ind w:left="839" w:hanging="419"/>
        <w:rPr>
          <w:highlight w:val="none"/>
        </w:rPr>
      </w:pPr>
      <w:r>
        <w:rPr>
          <w:rFonts w:hint="eastAsia"/>
          <w:highlight w:val="none"/>
          <w:lang w:val="en-US" w:eastAsia="zh-CN"/>
        </w:rPr>
        <w:t>支付记录；</w:t>
      </w:r>
    </w:p>
    <w:p>
      <w:pPr>
        <w:pStyle w:val="239"/>
        <w:numPr>
          <w:ilvl w:val="0"/>
          <w:numId w:val="13"/>
        </w:numPr>
        <w:ind w:left="839" w:hanging="419"/>
        <w:rPr>
          <w:highlight w:val="none"/>
        </w:rPr>
      </w:pPr>
      <w:r>
        <w:rPr>
          <w:rFonts w:hint="eastAsia"/>
          <w:highlight w:val="none"/>
          <w:lang w:val="en-US" w:eastAsia="zh-CN"/>
        </w:rPr>
        <w:t>成功下单后的订单信息，包括订单编号、下订单的日期、样品明细、费用明细、收货人信息等；</w:t>
      </w:r>
    </w:p>
    <w:p>
      <w:pPr>
        <w:pStyle w:val="239"/>
        <w:numPr>
          <w:ilvl w:val="0"/>
          <w:numId w:val="13"/>
        </w:numPr>
        <w:ind w:left="839" w:hanging="419"/>
        <w:rPr>
          <w:highlight w:val="none"/>
        </w:rPr>
      </w:pPr>
      <w:r>
        <w:rPr>
          <w:rFonts w:hint="eastAsia"/>
          <w:highlight w:val="none"/>
          <w:lang w:val="en-US" w:eastAsia="zh-CN"/>
        </w:rPr>
        <w:t>其他需要采集的信息。</w:t>
      </w:r>
    </w:p>
    <w:p>
      <w:pPr>
        <w:pStyle w:val="66"/>
        <w:spacing w:before="156" w:after="156"/>
        <w:rPr>
          <w:rFonts w:hint="default" w:hAnsi="Times New Roman" w:cs="Times New Roman"/>
          <w:highlight w:val="none"/>
          <w:lang w:val="en-US" w:eastAsia="zh-CN"/>
        </w:rPr>
      </w:pPr>
      <w:bookmarkStart w:id="123" w:name="_Toc26951"/>
      <w:bookmarkStart w:id="124" w:name="_Toc18702"/>
      <w:bookmarkStart w:id="125" w:name="_Toc28557"/>
      <w:r>
        <w:rPr>
          <w:rFonts w:hint="eastAsia" w:hAnsi="Times New Roman" w:cs="Times New Roman"/>
          <w:highlight w:val="none"/>
          <w:lang w:val="en-US" w:eastAsia="zh-CN"/>
        </w:rPr>
        <w:t>拆包、查验及封样过程的信息采集</w:t>
      </w:r>
      <w:bookmarkEnd w:id="123"/>
      <w:bookmarkEnd w:id="124"/>
      <w:bookmarkEnd w:id="125"/>
    </w:p>
    <w:p>
      <w:pPr>
        <w:pStyle w:val="231"/>
        <w:ind w:left="0" w:leftChars="0" w:firstLine="420" w:firstLineChars="200"/>
        <w:rPr>
          <w:rFonts w:hint="eastAsia"/>
          <w:highlight w:val="none"/>
          <w:lang w:val="en-US" w:eastAsia="zh-CN"/>
        </w:rPr>
      </w:pPr>
      <w:r>
        <w:rPr>
          <w:rFonts w:hint="eastAsia"/>
          <w:highlight w:val="none"/>
          <w:lang w:val="en-US" w:eastAsia="zh-CN"/>
        </w:rPr>
        <w:t>收到物流包裹后,由不少于两名抽样人员共同对物流单据记载的订单信息进行核对,确认无误后拆包、查验,对检验样品和复检备份样品分别封样。</w:t>
      </w:r>
    </w:p>
    <w:p>
      <w:pPr>
        <w:pStyle w:val="231"/>
        <w:ind w:left="0" w:leftChars="0" w:firstLine="420" w:firstLineChars="200"/>
        <w:rPr>
          <w:highlight w:val="none"/>
        </w:rPr>
      </w:pPr>
      <w:r>
        <w:rPr>
          <w:rFonts w:hint="eastAsia"/>
          <w:highlight w:val="none"/>
          <w:lang w:val="en-US" w:eastAsia="zh-CN"/>
        </w:rPr>
        <w:t>拆包、查验、封样过程应当拍照及录像，留存足以证明样品来源的关键影像资料。采集信息应当包含以下内容:</w:t>
      </w:r>
    </w:p>
    <w:p>
      <w:pPr>
        <w:pStyle w:val="239"/>
        <w:numPr>
          <w:ilvl w:val="0"/>
          <w:numId w:val="42"/>
        </w:numPr>
        <w:tabs>
          <w:tab w:val="left" w:pos="851"/>
        </w:tabs>
        <w:ind w:left="839" w:hanging="419"/>
        <w:rPr>
          <w:highlight w:val="none"/>
        </w:rPr>
      </w:pPr>
      <w:r>
        <w:rPr>
          <w:rFonts w:hint="eastAsia"/>
          <w:highlight w:val="none"/>
          <w:lang w:eastAsia="zh-CN"/>
        </w:rPr>
        <w:t>收到包裹的外包装及物流单据信息；</w:t>
      </w:r>
    </w:p>
    <w:p>
      <w:pPr>
        <w:pStyle w:val="239"/>
        <w:numPr>
          <w:ilvl w:val="0"/>
          <w:numId w:val="42"/>
        </w:numPr>
        <w:tabs>
          <w:tab w:val="left" w:pos="851"/>
        </w:tabs>
        <w:ind w:left="839" w:hanging="419"/>
        <w:rPr>
          <w:highlight w:val="none"/>
        </w:rPr>
      </w:pPr>
      <w:r>
        <w:rPr>
          <w:rFonts w:hint="eastAsia"/>
          <w:highlight w:val="none"/>
          <w:lang w:eastAsia="zh-CN"/>
        </w:rPr>
        <w:t>拆包后的样品状态；</w:t>
      </w:r>
    </w:p>
    <w:p>
      <w:pPr>
        <w:pStyle w:val="239"/>
        <w:numPr>
          <w:ilvl w:val="0"/>
          <w:numId w:val="13"/>
        </w:numPr>
        <w:ind w:left="839" w:hanging="419"/>
        <w:rPr>
          <w:highlight w:val="none"/>
        </w:rPr>
      </w:pPr>
      <w:r>
        <w:rPr>
          <w:rFonts w:hint="eastAsia"/>
          <w:highlight w:val="none"/>
          <w:lang w:val="en-US" w:eastAsia="zh-CN"/>
        </w:rPr>
        <w:t>有特殊储存要求的，应当记录样品储存状态；</w:t>
      </w:r>
    </w:p>
    <w:p>
      <w:pPr>
        <w:pStyle w:val="239"/>
        <w:numPr>
          <w:ilvl w:val="0"/>
          <w:numId w:val="13"/>
        </w:numPr>
        <w:ind w:left="839" w:hanging="419"/>
        <w:rPr>
          <w:highlight w:val="none"/>
        </w:rPr>
      </w:pPr>
      <w:r>
        <w:rPr>
          <w:rFonts w:hint="eastAsia"/>
          <w:highlight w:val="none"/>
          <w:lang w:val="en-US" w:eastAsia="zh-CN"/>
        </w:rPr>
        <w:t>样品的外观照片（含包装、标签等信息）；</w:t>
      </w:r>
    </w:p>
    <w:p>
      <w:pPr>
        <w:pStyle w:val="239"/>
        <w:numPr>
          <w:ilvl w:val="0"/>
          <w:numId w:val="13"/>
        </w:numPr>
        <w:ind w:left="839" w:hanging="419"/>
        <w:rPr>
          <w:highlight w:val="none"/>
        </w:rPr>
      </w:pPr>
      <w:r>
        <w:rPr>
          <w:rFonts w:hint="eastAsia"/>
          <w:highlight w:val="none"/>
        </w:rPr>
        <w:t>封样完毕后，所封样品码放整齐后的外观照片和封条近照；</w:t>
      </w:r>
    </w:p>
    <w:p>
      <w:pPr>
        <w:pStyle w:val="239"/>
        <w:numPr>
          <w:ilvl w:val="0"/>
          <w:numId w:val="13"/>
        </w:numPr>
        <w:ind w:left="839" w:hanging="419"/>
        <w:rPr>
          <w:highlight w:val="none"/>
        </w:rPr>
      </w:pPr>
      <w:r>
        <w:rPr>
          <w:rFonts w:hint="eastAsia"/>
          <w:highlight w:val="none"/>
        </w:rPr>
        <w:t>其他需要记录的信息。</w:t>
      </w:r>
    </w:p>
    <w:p>
      <w:pPr>
        <w:pStyle w:val="66"/>
        <w:spacing w:before="156" w:after="156"/>
        <w:rPr>
          <w:rFonts w:hint="default" w:hAnsi="Times New Roman" w:cs="Times New Roman"/>
          <w:highlight w:val="none"/>
          <w:lang w:val="en-US" w:eastAsia="zh-CN"/>
        </w:rPr>
      </w:pPr>
      <w:bookmarkStart w:id="126" w:name="_Toc19117"/>
      <w:bookmarkStart w:id="127" w:name="_Toc21694"/>
      <w:bookmarkStart w:id="128" w:name="_Toc10978"/>
      <w:r>
        <w:rPr>
          <w:rFonts w:hint="eastAsia" w:hAnsi="Times New Roman" w:cs="Times New Roman"/>
          <w:highlight w:val="none"/>
          <w:lang w:val="en-US" w:eastAsia="zh-CN"/>
        </w:rPr>
        <w:t>抽样文书填写及交付</w:t>
      </w:r>
      <w:bookmarkEnd w:id="126"/>
      <w:bookmarkEnd w:id="127"/>
      <w:bookmarkEnd w:id="128"/>
    </w:p>
    <w:p>
      <w:pPr>
        <w:pStyle w:val="231"/>
        <w:ind w:left="0" w:leftChars="0" w:firstLine="420" w:firstLineChars="200"/>
        <w:rPr>
          <w:rFonts w:hint="eastAsia"/>
          <w:highlight w:val="none"/>
          <w:lang w:val="en-US" w:eastAsia="zh-CN"/>
        </w:rPr>
      </w:pPr>
      <w:r>
        <w:rPr>
          <w:rFonts w:hint="eastAsia"/>
          <w:highlight w:val="none"/>
          <w:lang w:val="en-US" w:eastAsia="zh-CN"/>
        </w:rPr>
        <w:t>抽样人员应当完整填写《食品安全抽样检验抽样单》。《食品安全抽样检验抽样单》和《食品安全抽样检验封条》不需要被抽样单位签字或盖章确认，也不需要交付被抽样单位，如需更改信息可由两名抽样人员签名确认或抽样单位盖章确认。</w:t>
      </w:r>
    </w:p>
    <w:p>
      <w:pPr>
        <w:pStyle w:val="66"/>
        <w:spacing w:before="156" w:after="156"/>
        <w:rPr>
          <w:rFonts w:hint="default" w:hAnsi="Times New Roman" w:cs="Times New Roman"/>
          <w:highlight w:val="none"/>
          <w:lang w:val="en-US" w:eastAsia="zh-CN"/>
        </w:rPr>
      </w:pPr>
      <w:bookmarkStart w:id="129" w:name="_Toc11716"/>
      <w:bookmarkStart w:id="130" w:name="_Toc7953"/>
      <w:bookmarkStart w:id="131" w:name="_Toc31439"/>
      <w:r>
        <w:rPr>
          <w:rFonts w:hint="eastAsia" w:hAnsi="Times New Roman" w:cs="Times New Roman"/>
          <w:highlight w:val="none"/>
          <w:lang w:val="en-US" w:eastAsia="zh-CN"/>
        </w:rPr>
        <w:t>特殊情况的处理</w:t>
      </w:r>
      <w:bookmarkEnd w:id="129"/>
      <w:bookmarkEnd w:id="130"/>
      <w:bookmarkEnd w:id="131"/>
    </w:p>
    <w:p>
      <w:pPr>
        <w:pStyle w:val="57"/>
        <w:ind w:firstLine="420"/>
        <w:rPr>
          <w:rFonts w:hint="eastAsia"/>
          <w:highlight w:val="none"/>
          <w:lang w:val="en-US" w:eastAsia="zh-CN"/>
        </w:rPr>
      </w:pPr>
      <w:r>
        <w:rPr>
          <w:rFonts w:hint="eastAsia"/>
          <w:highlight w:val="none"/>
          <w:lang w:val="en-US" w:eastAsia="zh-CN"/>
        </w:rPr>
        <w:t>对于收到的食品为不同生产批次的，选取其中满足检验及复检要求的某一批次食品为抽检样品，其余不同批次食品应当单独封样，同复检备份样品一并管理，并在抽样单备注栏说明。</w:t>
      </w:r>
    </w:p>
    <w:p>
      <w:pPr>
        <w:pStyle w:val="57"/>
        <w:ind w:firstLine="420"/>
        <w:rPr>
          <w:rFonts w:hint="eastAsia"/>
          <w:highlight w:val="none"/>
          <w:lang w:val="en-US" w:eastAsia="zh-CN"/>
        </w:rPr>
      </w:pPr>
      <w:r>
        <w:rPr>
          <w:rFonts w:hint="eastAsia"/>
          <w:highlight w:val="none"/>
          <w:lang w:val="en-US" w:eastAsia="zh-CN"/>
        </w:rPr>
        <w:t>若无任何一批次满足检验及复检要求的，抽样单位可向组织实施抽样检验工作的市场监管部门申请调整检验项目等，经同意后可对某一批次样品进行检验。</w:t>
      </w:r>
    </w:p>
    <w:p>
      <w:pPr>
        <w:pStyle w:val="105"/>
        <w:spacing w:before="312" w:after="312"/>
      </w:pPr>
      <w:bookmarkStart w:id="132" w:name="_Toc9805"/>
      <w:r>
        <w:rPr>
          <w:rFonts w:hint="eastAsia" w:ascii="黑体" w:hAnsi="黑体" w:eastAsia="黑体" w:cs="Times New Roman"/>
          <w:bCs/>
          <w:color w:val="auto"/>
          <w:kern w:val="0"/>
          <w:szCs w:val="21"/>
        </w:rPr>
        <w:t>信息记录</w:t>
      </w:r>
      <w:r>
        <w:rPr>
          <w:rFonts w:hint="eastAsia" w:ascii="黑体" w:hAnsi="黑体" w:eastAsia="黑体" w:cs="Times New Roman"/>
          <w:bCs/>
          <w:color w:val="auto"/>
          <w:kern w:val="0"/>
          <w:szCs w:val="21"/>
          <w:lang w:val="en-US" w:eastAsia="zh-CN"/>
        </w:rPr>
        <w:t>保存</w:t>
      </w:r>
      <w:bookmarkEnd w:id="132"/>
    </w:p>
    <w:p>
      <w:pPr>
        <w:pStyle w:val="57"/>
        <w:ind w:firstLine="420"/>
        <w:rPr>
          <w:rFonts w:hint="eastAsia" w:hAnsi="Times New Roman" w:cs="Times New Roman"/>
          <w:highlight w:val="none"/>
          <w:lang w:val="en-US" w:eastAsia="zh-CN"/>
        </w:rPr>
      </w:pPr>
      <w:r>
        <w:rPr>
          <w:rFonts w:hint="eastAsia" w:hAnsi="Times New Roman" w:cs="Times New Roman"/>
          <w:highlight w:val="none"/>
          <w:lang w:val="en-US" w:eastAsia="zh-CN"/>
        </w:rPr>
        <w:t>抽样单位应妥善保存纸质抽样记录和电子抽样记录（照片、视频等），抽样记录保存期限均不得少于2年。</w:t>
      </w:r>
    </w:p>
    <w:p>
      <w:pPr>
        <w:pStyle w:val="105"/>
        <w:spacing w:before="312" w:after="312"/>
      </w:pPr>
      <w:bookmarkStart w:id="133" w:name="_Toc6585"/>
      <w:r>
        <w:rPr>
          <w:rFonts w:hint="eastAsia"/>
        </w:rPr>
        <w:t>样品的保存和处置</w:t>
      </w:r>
      <w:bookmarkEnd w:id="133"/>
    </w:p>
    <w:p>
      <w:pPr>
        <w:pStyle w:val="163"/>
        <w:rPr>
          <w:highlight w:val="none"/>
        </w:rPr>
      </w:pPr>
      <w:r>
        <w:rPr>
          <w:rFonts w:hint="eastAsia"/>
        </w:rPr>
        <w:t>承检机构应建立样品保管制度，严禁样品被随意调换、拆封。对于复检备份样品的调取或使用，应经相关负责人签字后方可进行。</w:t>
      </w:r>
    </w:p>
    <w:p>
      <w:pPr>
        <w:pStyle w:val="163"/>
        <w:rPr>
          <w:rFonts w:hint="eastAsia" w:hAnsi="Times New Roman" w:cs="Times New Roman"/>
          <w:highlight w:val="none"/>
          <w:lang w:val="en-US" w:eastAsia="zh-CN"/>
        </w:rPr>
      </w:pPr>
      <w:r>
        <w:rPr>
          <w:rFonts w:hint="eastAsia"/>
          <w:highlight w:val="none"/>
        </w:rPr>
        <w:t>鼓励对合格复检备份样品采取多种方式再利用，减少食品浪费。</w:t>
      </w:r>
      <w:r>
        <w:rPr>
          <w:rFonts w:hint="eastAsia"/>
          <w:highlight w:val="none"/>
          <w:lang w:val="en-US" w:eastAsia="zh-CN"/>
        </w:rPr>
        <w:t>各级市场监管部门</w:t>
      </w:r>
      <w:r>
        <w:rPr>
          <w:rFonts w:hint="eastAsia"/>
          <w:highlight w:val="none"/>
        </w:rPr>
        <w:t>原则上自检验结论作出之日起一个月后可按规范程序和有关要求组织对合格复检备份样品合理再利用。其他合</w:t>
      </w:r>
      <w:r>
        <w:rPr>
          <w:rFonts w:hint="eastAsia"/>
        </w:rPr>
        <w:t>格备份样品应当自检验结论作出之日起三个月内妥善保存，剩余保质期不足三个月的，应当保存至保质期结束</w:t>
      </w:r>
      <w:r>
        <w:rPr>
          <w:rFonts w:hint="eastAsia"/>
          <w:lang w:eastAsia="zh-CN"/>
        </w:rPr>
        <w:t>。</w:t>
      </w:r>
    </w:p>
    <w:p>
      <w:pPr>
        <w:pStyle w:val="163"/>
        <w:rPr>
          <w:rFonts w:hint="eastAsia" w:hAnsi="Times New Roman" w:cs="Times New Roman"/>
          <w:highlight w:val="none"/>
          <w:lang w:val="en-US" w:eastAsia="zh-CN"/>
        </w:rPr>
      </w:pPr>
      <w:r>
        <w:rPr>
          <w:rFonts w:hint="eastAsia" w:hAnsi="Times New Roman" w:cs="Times New Roman"/>
          <w:highlight w:val="none"/>
          <w:lang w:val="en-US" w:eastAsia="zh-CN"/>
        </w:rPr>
        <w:t>检验结论不合格的，承检机构应当自检验结论作出之日起六个月内妥善保存复检备份样品，剩余保质期不足六个月的，应当保存至保质期结束。</w:t>
      </w:r>
    </w:p>
    <w:p>
      <w:pPr>
        <w:pStyle w:val="163"/>
        <w:rPr>
          <w:rFonts w:hint="eastAsia" w:hAnsi="Times New Roman" w:cs="Times New Roman"/>
          <w:highlight w:val="none"/>
          <w:lang w:val="en-US" w:eastAsia="zh-CN"/>
        </w:rPr>
      </w:pPr>
      <w:r>
        <w:rPr>
          <w:rFonts w:hint="eastAsia" w:hAnsi="Times New Roman" w:cs="Times New Roman"/>
          <w:highlight w:val="none"/>
          <w:lang w:val="en-US" w:eastAsia="zh-CN"/>
        </w:rPr>
        <w:t>对于不合格和问题食品的备份样品、超过保质期的备份样品以及不适于继续食用的生鲜食用农产品，应当进行无害化处理或妥善销毁，并保留样品处理记录。</w:t>
      </w:r>
    </w:p>
    <w:p>
      <w:pPr>
        <w:pStyle w:val="163"/>
        <w:rPr>
          <w:rFonts w:hint="eastAsia" w:hAnsi="Times New Roman" w:cs="Times New Roman"/>
          <w:highlight w:val="none"/>
          <w:lang w:val="en-US" w:eastAsia="zh-CN"/>
        </w:rPr>
      </w:pPr>
      <w:r>
        <w:rPr>
          <w:rFonts w:hint="eastAsia" w:hAnsi="Times New Roman" w:cs="Times New Roman"/>
          <w:highlight w:val="none"/>
          <w:lang w:val="en-US" w:eastAsia="zh-CN"/>
        </w:rPr>
        <w:t>对拟采取捐赠方式处置的样品，填写《上海市市场监督管理局食品安全抽检备份样品处置事前报备表》，在拟处置前10个工作日向上海市市场监督管理部门进行事前报备。捐赠完成后，备样处置机构应填写《上海市市场监督管理局食品安全抽检备份样品处置记录表》，连同捐赠票据复印件报上海市市场监督管理部门备案，原件存档备查。</w:t>
      </w:r>
    </w:p>
    <w:p>
      <w:pPr>
        <w:pStyle w:val="105"/>
        <w:spacing w:before="312" w:after="312"/>
      </w:pPr>
      <w:bookmarkStart w:id="134" w:name="_Toc8466"/>
      <w:r>
        <w:rPr>
          <w:rFonts w:hint="eastAsia" w:ascii="黑体" w:hAnsi="黑体" w:eastAsia="黑体" w:cs="Times New Roman"/>
          <w:bCs/>
          <w:color w:val="auto"/>
          <w:kern w:val="0"/>
          <w:szCs w:val="21"/>
          <w:lang w:val="en-US" w:eastAsia="zh-CN"/>
        </w:rPr>
        <w:t>其他要求</w:t>
      </w:r>
      <w:bookmarkEnd w:id="134"/>
    </w:p>
    <w:p>
      <w:pPr>
        <w:pStyle w:val="57"/>
        <w:ind w:firstLine="420"/>
        <w:rPr>
          <w:rFonts w:hint="eastAsia" w:hAnsi="Times New Roman" w:cs="Times New Roman"/>
          <w:color w:val="auto"/>
          <w:highlight w:val="none"/>
          <w:lang w:val="en-US" w:eastAsia="zh-CN"/>
        </w:rPr>
      </w:pPr>
      <w:r>
        <w:rPr>
          <w:rFonts w:hint="eastAsia" w:hAnsi="Times New Roman" w:cs="Times New Roman"/>
          <w:highlight w:val="none"/>
          <w:lang w:val="en-US" w:eastAsia="zh-CN"/>
        </w:rPr>
        <w:t>食品安全抽检监</w:t>
      </w:r>
      <w:r>
        <w:rPr>
          <w:rFonts w:hint="eastAsia" w:hAnsi="Times New Roman" w:cs="Times New Roman"/>
          <w:color w:val="auto"/>
          <w:highlight w:val="none"/>
          <w:lang w:val="en-US" w:eastAsia="zh-CN"/>
        </w:rPr>
        <w:t>测</w:t>
      </w:r>
      <w:r>
        <w:rPr>
          <w:rFonts w:hint="eastAsia" w:cs="Times New Roman"/>
          <w:color w:val="auto"/>
          <w:highlight w:val="none"/>
          <w:lang w:val="en-US" w:eastAsia="zh-CN"/>
        </w:rPr>
        <w:t>工作</w:t>
      </w:r>
      <w:r>
        <w:rPr>
          <w:rFonts w:hint="eastAsia" w:hAnsi="Times New Roman" w:cs="Times New Roman"/>
          <w:color w:val="auto"/>
          <w:highlight w:val="none"/>
          <w:lang w:val="en-US" w:eastAsia="zh-CN"/>
        </w:rPr>
        <w:t>所有流程和记录应符合信息化要求，便于市场监督管理部门科学化、规范化管理，提高监管精准度。</w: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pStyle w:val="57"/>
        <w:ind w:firstLine="420"/>
        <w:sectPr>
          <w:headerReference r:id="rId17" w:type="default"/>
          <w:footerReference r:id="rId19" w:type="default"/>
          <w:headerReference r:id="rId18" w:type="even"/>
          <w:footerReference r:id="rId20" w:type="even"/>
          <w:pgSz w:w="11906" w:h="16838"/>
          <w:pgMar w:top="1928" w:right="1134" w:bottom="1134" w:left="1134" w:header="1418" w:footer="1134" w:gutter="284"/>
          <w:pgNumType w:fmt="decimal" w:start="1"/>
          <w:cols w:space="425" w:num="1"/>
          <w:formProt w:val="0"/>
          <w:docGrid w:type="lines" w:linePitch="312" w:charSpace="0"/>
        </w:sectPr>
      </w:pPr>
    </w:p>
    <w:p>
      <w:pPr>
        <w:pStyle w:val="64"/>
        <w:spacing w:after="156"/>
      </w:pPr>
      <w:bookmarkStart w:id="135" w:name="_Toc5591"/>
      <w:r>
        <w:rPr>
          <w:rFonts w:hint="eastAsia"/>
          <w:spacing w:val="105"/>
        </w:rPr>
        <w:t>参考文</w:t>
      </w:r>
      <w:r>
        <w:rPr>
          <w:rFonts w:hint="eastAsia"/>
        </w:rPr>
        <w:t>献</w:t>
      </w:r>
      <w:bookmarkEnd w:id="135"/>
    </w:p>
    <w:p>
      <w:pPr>
        <w:pStyle w:val="57"/>
        <w:ind w:firstLine="420"/>
        <w:rPr>
          <w:color w:val="auto"/>
        </w:rPr>
      </w:pPr>
      <w:r>
        <w:rPr>
          <w:rFonts w:hint="eastAsia"/>
          <w:color w:val="auto"/>
        </w:rPr>
        <w:t>[</w:t>
      </w:r>
      <w:r>
        <w:rPr>
          <w:color w:val="auto"/>
        </w:rPr>
        <w:t xml:space="preserve">1] </w:t>
      </w:r>
      <w:r>
        <w:rPr>
          <w:rFonts w:hint="eastAsia"/>
          <w:color w:val="auto"/>
        </w:rPr>
        <w:t>国家市场监督管理总局第15号令《食品安全抽样检验管理办法》</w:t>
      </w:r>
    </w:p>
    <w:p>
      <w:pPr>
        <w:pStyle w:val="57"/>
        <w:ind w:firstLine="420"/>
        <w:rPr>
          <w:rFonts w:hint="eastAsia" w:eastAsia="宋体"/>
          <w:color w:val="auto"/>
          <w:lang w:eastAsia="zh-CN"/>
        </w:rPr>
      </w:pPr>
      <w:r>
        <w:rPr>
          <w:color w:val="auto"/>
        </w:rPr>
        <w:t>[2]</w:t>
      </w:r>
      <w:r>
        <w:rPr>
          <w:rFonts w:hint="eastAsia"/>
          <w:color w:val="auto"/>
          <w:lang w:val="en-US" w:eastAsia="zh-CN"/>
        </w:rPr>
        <w:t xml:space="preserve"> </w:t>
      </w:r>
      <w:r>
        <w:rPr>
          <w:rFonts w:hint="eastAsia"/>
          <w:color w:val="auto"/>
        </w:rPr>
        <w:t>市监食检发〔2023〕76 号</w:t>
      </w:r>
      <w:r>
        <w:rPr>
          <w:rFonts w:hint="eastAsia"/>
          <w:color w:val="auto"/>
          <w:lang w:eastAsia="zh-CN"/>
        </w:rPr>
        <w:t>《食品安全抽样检验工作规范》</w:t>
      </w:r>
    </w:p>
    <w:p>
      <w:pPr>
        <w:pStyle w:val="57"/>
        <w:ind w:firstLine="420"/>
        <w:rPr>
          <w:color w:val="auto"/>
        </w:rPr>
      </w:pPr>
      <w:r>
        <w:rPr>
          <w:color w:val="auto"/>
        </w:rPr>
        <w:t>[3]</w:t>
      </w:r>
      <w:r>
        <w:rPr>
          <w:rFonts w:hint="eastAsia"/>
          <w:color w:val="auto"/>
        </w:rPr>
        <w:t>《上海市市场监督管理局食品安全抽样工作规范（试行）》</w:t>
      </w:r>
    </w:p>
    <w:p>
      <w:pPr>
        <w:pStyle w:val="57"/>
        <w:ind w:firstLine="420"/>
        <w:rPr>
          <w:color w:val="auto"/>
        </w:rPr>
      </w:pPr>
      <w:r>
        <w:rPr>
          <w:color w:val="auto"/>
        </w:rPr>
        <w:t>[4]</w:t>
      </w:r>
      <w:r>
        <w:rPr>
          <w:rFonts w:hint="eastAsia"/>
          <w:color w:val="auto"/>
        </w:rPr>
        <w:t>《上海市市场监督管理局食品安全抽检备份样品处置管理办法（试行）》</w:t>
      </w:r>
    </w:p>
    <w:p>
      <w:pPr>
        <w:pStyle w:val="57"/>
        <w:ind w:firstLine="0" w:firstLineChars="0"/>
        <w:jc w:val="center"/>
      </w:pPr>
      <w:r>
        <w:drawing>
          <wp:inline distT="0" distB="0" distL="0" distR="0">
            <wp:extent cx="1485900" cy="317500"/>
            <wp:effectExtent l="0" t="0" r="7620" b="2540"/>
            <wp:docPr id="13" name="图片 1"/>
            <wp:cNvGraphicFramePr/>
            <a:graphic xmlns:a="http://schemas.openxmlformats.org/drawingml/2006/main">
              <a:graphicData uri="http://schemas.openxmlformats.org/drawingml/2006/picture">
                <pic:pic xmlns:pic="http://schemas.openxmlformats.org/drawingml/2006/picture">
                  <pic:nvPicPr>
                    <pic:cNvPr id="13" name="图片 1"/>
                    <pic:cNvPicPr/>
                  </pic:nvPicPr>
                  <pic:blipFill>
                    <a:blip r:embed="rId27">
                      <a:extLst>
                        <a:ext uri="{28A0092B-C50C-407E-A947-70E740481C1C}">
                          <a14:useLocalDpi xmlns:a14="http://schemas.microsoft.com/office/drawing/2010/main" val="false"/>
                        </a:ext>
                      </a:extLst>
                    </a:blip>
                    <a:stretch>
                      <a:fillRect/>
                    </a:stretch>
                  </pic:blipFill>
                  <pic:spPr>
                    <a:xfrm>
                      <a:off x="0" y="0"/>
                      <a:ext cx="1485900" cy="317500"/>
                    </a:xfrm>
                    <a:prstGeom prst="rect">
                      <a:avLst/>
                    </a:prstGeom>
                  </pic:spPr>
                </pic:pic>
              </a:graphicData>
            </a:graphic>
          </wp:inline>
        </w:drawing>
      </w:r>
      <w:bookmarkEnd w:id="20"/>
    </w:p>
    <w:sectPr>
      <w:headerReference r:id="rId21" w:type="default"/>
      <w:footerReference r:id="rId23" w:type="default"/>
      <w:headerReference r:id="rId22" w:type="even"/>
      <w:footerReference r:id="rId24" w:type="even"/>
      <w:pgSz w:w="11906" w:h="16838"/>
      <w:pgMar w:top="1928" w:right="1134" w:bottom="1134" w:left="1134" w:header="1418" w:footer="1134" w:gutter="284"/>
      <w:pgNumType w:fmt="decimal"/>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圆B5"/>
    <w:panose1 w:val="02010600030101010101"/>
    <w:charset w:val="86"/>
    <w:family w:val="auto"/>
    <w:pitch w:val="default"/>
    <w:sig w:usb0="00000000" w:usb1="00000000" w:usb2="00000016" w:usb3="00000000" w:csb0="0004000F" w:csb1="00000000"/>
  </w:font>
  <w:font w:name="等线 Light">
    <w:altName w:val="汉仪中圆B5"/>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䡡湄楮札䍓ⵆ潮瑳">
    <w:panose1 w:val="02010609010101010101"/>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PAGE   \* MERGEFORMAT</w:instrText>
                          </w:r>
                          <w:r>
                            <w:fldChar w:fldCharType="separate"/>
                          </w:r>
                          <w:r>
                            <w:rPr>
                              <w:lang w:val="zh-CN"/>
                            </w:rPr>
                            <w:t>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18"/>
                    </w:pPr>
                    <w:r>
                      <w:fldChar w:fldCharType="begin"/>
                    </w:r>
                    <w:r>
                      <w:instrText xml:space="preserve">PAGE   \* MERGEFORMAT</w:instrText>
                    </w:r>
                    <w:r>
                      <w:fldChar w:fldCharType="separate"/>
                    </w:r>
                    <w:r>
                      <w:rPr>
                        <w:lang w:val="zh-CN"/>
                      </w:rPr>
                      <w:t>2</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2"/>
                          </w:pPr>
                          <w:r>
                            <w:fldChar w:fldCharType="begin"/>
                          </w:r>
                          <w:r>
                            <w:instrText xml:space="preserve"> PAGE   \* MERGEFORMAT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GQA+L8aAgAAKwQAAA4AAAAAAAAAAQAgAAAANQEAAGRycy9lMm9Eb2MueG1sUEsFBgAA&#10;AAAGAAYAWQEAAMEFAAAAAA==&#10;">
              <v:fill on="f" focussize="0,0"/>
              <v:stroke on="f" weight="0.5pt"/>
              <v:imagedata o:title=""/>
              <o:lock v:ext="edit" aspectratio="f"/>
              <v:textbox inset="0mm,0mm,0mm,0mm" style="mso-fit-shape-to-text:t;">
                <w:txbxContent>
                  <w:p>
                    <w:pPr>
                      <w:pStyle w:val="52"/>
                    </w:pPr>
                    <w:r>
                      <w:fldChar w:fldCharType="begin"/>
                    </w:r>
                    <w:r>
                      <w:instrText xml:space="preserve"> PAGE   \* MERGEFORMAT \* MERGEFORMAT </w:instrText>
                    </w:r>
                    <w:r>
                      <w:fldChar w:fldCharType="separate"/>
                    </w:r>
                    <w:r>
                      <w:t>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3"/>
                          </w:pPr>
                          <w:r>
                            <w:fldChar w:fldCharType="begin"/>
                          </w:r>
                          <w:r>
                            <w:instrText xml:space="preserve">PAGE   \* MERGEFORMAT</w:instrText>
                          </w:r>
                          <w:r>
                            <w:fldChar w:fldCharType="separate"/>
                          </w:r>
                          <w:r>
                            <w:rPr>
                              <w:lang w:val="zh-CN"/>
                            </w:rP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53"/>
                    </w:pPr>
                    <w:r>
                      <w:fldChar w:fldCharType="begin"/>
                    </w:r>
                    <w:r>
                      <w:instrText xml:space="preserve">PAGE   \* MERGEFORMAT</w:instrText>
                    </w:r>
                    <w:r>
                      <w:fldChar w:fldCharType="separate"/>
                    </w:r>
                    <w:r>
                      <w:rPr>
                        <w:lang w:val="zh-CN"/>
                      </w:rP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2"/>
                          </w:pPr>
                          <w:r>
                            <w:fldChar w:fldCharType="begin"/>
                          </w:r>
                          <w:r>
                            <w:instrText xml:space="preserve"> PAGE   \* MERGEFORMAT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52"/>
                    </w:pPr>
                    <w:r>
                      <w:fldChar w:fldCharType="begin"/>
                    </w:r>
                    <w:r>
                      <w:instrText xml:space="preserve"> PAGE   \* MERGEFORMAT \* MERGEFORMAT </w:instrText>
                    </w:r>
                    <w:r>
                      <w:fldChar w:fldCharType="separate"/>
                    </w:r>
                    <w:r>
                      <w:t>II</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rPr>
        <w:sz w:val="18"/>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3"/>
                          </w:pPr>
                          <w:r>
                            <w:fldChar w:fldCharType="begin"/>
                          </w:r>
                          <w:r>
                            <w:instrText xml:space="preserve">PAGE   \* MERGEFORMAT</w:instrText>
                          </w:r>
                          <w:r>
                            <w:fldChar w:fldCharType="separate"/>
                          </w:r>
                          <w:r>
                            <w:rPr>
                              <w:lang w:val="zh-CN"/>
                            </w:rP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53"/>
                    </w:pPr>
                    <w:r>
                      <w:fldChar w:fldCharType="begin"/>
                    </w:r>
                    <w:r>
                      <w:instrText xml:space="preserve">PAGE   \* MERGEFORMAT</w:instrText>
                    </w:r>
                    <w:r>
                      <w:fldChar w:fldCharType="separate"/>
                    </w:r>
                    <w:r>
                      <w:rPr>
                        <w:lang w:val="zh-CN"/>
                      </w:rP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rPr>
        <w:sz w:val="18"/>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2"/>
                          </w:pPr>
                          <w:r>
                            <w:fldChar w:fldCharType="begin"/>
                          </w:r>
                          <w:r>
                            <w:instrText xml:space="preserve"> PAGE   \* MERGEFORMAT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v:fill on="f" focussize="0,0"/>
              <v:stroke on="f" weight="0.5pt"/>
              <v:imagedata o:title=""/>
              <o:lock v:ext="edit" aspectratio="f"/>
              <v:textbox inset="0mm,0mm,0mm,0mm" style="mso-fit-shape-to-text:t;">
                <w:txbxContent>
                  <w:p>
                    <w:pPr>
                      <w:pStyle w:val="52"/>
                    </w:pPr>
                    <w:r>
                      <w:fldChar w:fldCharType="begin"/>
                    </w:r>
                    <w:r>
                      <w:instrText xml:space="preserve"> PAGE   \* MERGEFORMAT \* MERGEFORMAT </w:instrText>
                    </w:r>
                    <w:r>
                      <w:fldChar w:fldCharType="separate"/>
                    </w:r>
                    <w:r>
                      <w:t>I</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3"/>
                          </w:pPr>
                          <w:r>
                            <w:fldChar w:fldCharType="begin"/>
                          </w:r>
                          <w:r>
                            <w:instrText xml:space="preserve">PAGE   \* MERGEFORMAT</w:instrText>
                          </w:r>
                          <w:r>
                            <w:fldChar w:fldCharType="separate"/>
                          </w:r>
                          <w:r>
                            <w:rPr>
                              <w:lang w:val="zh-CN"/>
                            </w:rP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zQKKhHAIAACs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0CioRwCAAArBAAADgAAAAAAAAABACAAAAA1AQAAZHJzL2Uyb0RvYy54bWxQSwUG&#10;AAAAAAYABgBZAQAAwwUAAAAA&#10;">
              <v:fill on="f" focussize="0,0"/>
              <v:stroke on="f" weight="0.5pt"/>
              <v:imagedata o:title=""/>
              <o:lock v:ext="edit" aspectratio="f"/>
              <v:textbox inset="0mm,0mm,0mm,0mm" style="mso-fit-shape-to-text:t;">
                <w:txbxContent>
                  <w:p>
                    <w:pPr>
                      <w:pStyle w:val="53"/>
                    </w:pPr>
                    <w:r>
                      <w:fldChar w:fldCharType="begin"/>
                    </w:r>
                    <w:r>
                      <w:instrText xml:space="preserve">PAGE   \* MERGEFORMAT</w:instrText>
                    </w:r>
                    <w:r>
                      <w:fldChar w:fldCharType="separate"/>
                    </w:r>
                    <w:r>
                      <w:rPr>
                        <w:lang w:val="zh-CN"/>
                      </w:rPr>
                      <w:t>1</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3"/>
                          </w:pPr>
                          <w:r>
                            <w:fldChar w:fldCharType="begin"/>
                          </w:r>
                          <w:r>
                            <w:instrText xml:space="preserve">PAGE   \* MERGEFORMAT</w:instrText>
                          </w:r>
                          <w:r>
                            <w:fldChar w:fldCharType="separate"/>
                          </w:r>
                          <w:r>
                            <w:rPr>
                              <w:lang w:val="zh-CN"/>
                            </w:rP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wh4D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FsIeAxwCAAArBAAADgAAAAAAAAABACAAAAA1AQAAZHJzL2Uyb0RvYy54bWxQSwUG&#10;AAAAAAYABgBZAQAAwwUAAAAA&#10;">
              <v:fill on="f" focussize="0,0"/>
              <v:stroke on="f" weight="0.5pt"/>
              <v:imagedata o:title=""/>
              <o:lock v:ext="edit" aspectratio="f"/>
              <v:textbox inset="0mm,0mm,0mm,0mm" style="mso-fit-shape-to-text:t;">
                <w:txbxContent>
                  <w:p>
                    <w:pPr>
                      <w:pStyle w:val="53"/>
                    </w:pPr>
                    <w:r>
                      <w:fldChar w:fldCharType="begin"/>
                    </w:r>
                    <w:r>
                      <w:instrText xml:space="preserve">PAGE   \* MERGEFORMAT</w:instrText>
                    </w:r>
                    <w:r>
                      <w:fldChar w:fldCharType="separate"/>
                    </w:r>
                    <w:r>
                      <w:rPr>
                        <w:lang w:val="zh-CN"/>
                      </w:rP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 31/T XXXX—XXXX</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31/T 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 31/T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31/T XXXX—XXXX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 31/T XXXX—XXXX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31/T XXXX—XXXX</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 31/T XXXX—XXXX</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31/T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5"/>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0"/>
      <w:lvlText w:val="%1"/>
      <w:lvlJc w:val="left"/>
      <w:pPr>
        <w:ind w:left="425" w:hanging="425"/>
      </w:pPr>
      <w:rPr>
        <w:rFonts w:hint="eastAsia"/>
      </w:rPr>
    </w:lvl>
    <w:lvl w:ilvl="1" w:tentative="0">
      <w:start w:val="1"/>
      <w:numFmt w:val="decimal"/>
      <w:pStyle w:val="201"/>
      <w:suff w:val="nothing"/>
      <w:lvlText w:val="%10.%2 "/>
      <w:lvlJc w:val="left"/>
      <w:pPr>
        <w:ind w:left="0" w:firstLine="0"/>
      </w:pPr>
      <w:rPr>
        <w:rFonts w:hint="eastAsia" w:ascii="黑体" w:eastAsia="黑体" w:hAnsiTheme="minorHAnsi"/>
        <w:b w:val="0"/>
        <w:i w:val="0"/>
        <w:sz w:val="21"/>
      </w:rPr>
    </w:lvl>
    <w:lvl w:ilvl="2" w:tentative="0">
      <w:start w:val="1"/>
      <w:numFmt w:val="decimal"/>
      <w:pStyle w:val="202"/>
      <w:suff w:val="nothing"/>
      <w:lvlText w:val="%10.%2.%3 "/>
      <w:lvlJc w:val="left"/>
      <w:pPr>
        <w:ind w:left="0" w:firstLine="0"/>
      </w:pPr>
      <w:rPr>
        <w:rFonts w:hint="eastAsia" w:ascii="黑体" w:eastAsia="黑体" w:hAnsiTheme="minorHAnsi"/>
        <w:b w:val="0"/>
        <w:i w:val="0"/>
        <w:sz w:val="21"/>
      </w:rPr>
    </w:lvl>
    <w:lvl w:ilvl="3" w:tentative="0">
      <w:start w:val="1"/>
      <w:numFmt w:val="decimal"/>
      <w:pStyle w:val="203"/>
      <w:suff w:val="nothing"/>
      <w:lvlText w:val="%10.%2.%3.%4 "/>
      <w:lvlJc w:val="left"/>
      <w:pPr>
        <w:ind w:left="0" w:firstLine="0"/>
      </w:pPr>
      <w:rPr>
        <w:rFonts w:hint="eastAsia" w:ascii="黑体" w:eastAsia="黑体" w:hAnsiTheme="minorHAnsi"/>
        <w:b w:val="0"/>
        <w:i w:val="0"/>
        <w:sz w:val="21"/>
      </w:rPr>
    </w:lvl>
    <w:lvl w:ilvl="4" w:tentative="0">
      <w:start w:val="1"/>
      <w:numFmt w:val="decimal"/>
      <w:pStyle w:val="204"/>
      <w:suff w:val="nothing"/>
      <w:lvlText w:val="%10.%2.%3.%4.%5 "/>
      <w:lvlJc w:val="left"/>
      <w:pPr>
        <w:ind w:left="0" w:firstLine="0"/>
      </w:pPr>
      <w:rPr>
        <w:rFonts w:hint="eastAsia" w:ascii="黑体" w:eastAsia="黑体" w:hAnsiTheme="minorHAnsi"/>
        <w:b w:val="0"/>
        <w:i w:val="0"/>
        <w:sz w:val="21"/>
      </w:rPr>
    </w:lvl>
    <w:lvl w:ilvl="5" w:tentative="0">
      <w:start w:val="1"/>
      <w:numFmt w:val="decimal"/>
      <w:pStyle w:val="205"/>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1FC91163"/>
    <w:multiLevelType w:val="multilevel"/>
    <w:tmpl w:val="1FC91163"/>
    <w:lvl w:ilvl="0" w:tentative="0">
      <w:start w:val="1"/>
      <w:numFmt w:val="decimal"/>
      <w:pStyle w:val="234"/>
      <w:suff w:val="nothing"/>
      <w:lvlText w:val="%1　"/>
      <w:lvlJc w:val="left"/>
      <w:pPr>
        <w:ind w:left="142" w:firstLine="0"/>
      </w:pPr>
      <w:rPr>
        <w:rFonts w:hint="eastAsia" w:ascii="黑体" w:hAnsi="Times New Roman" w:eastAsia="黑体"/>
        <w:b w:val="0"/>
        <w:i w:val="0"/>
        <w:sz w:val="21"/>
        <w:szCs w:val="21"/>
      </w:rPr>
    </w:lvl>
    <w:lvl w:ilvl="1" w:tentative="0">
      <w:start w:val="1"/>
      <w:numFmt w:val="decimal"/>
      <w:pStyle w:val="233"/>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235"/>
      <w:suff w:val="nothing"/>
      <w:lvlText w:val="%1.%2.%3　"/>
      <w:lvlJc w:val="left"/>
      <w:pPr>
        <w:ind w:left="567"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237"/>
      <w:suff w:val="nothing"/>
      <w:lvlText w:val="%1.%2.%3.%4.%5　"/>
      <w:lvlJc w:val="left"/>
      <w:pPr>
        <w:ind w:left="0" w:firstLine="0"/>
      </w:pPr>
      <w:rPr>
        <w:rFonts w:hint="eastAsia" w:ascii="黑体" w:hAnsi="Times New Roman" w:eastAsia="黑体"/>
        <w:b w:val="0"/>
        <w:i w:val="0"/>
        <w:sz w:val="21"/>
      </w:rPr>
    </w:lvl>
    <w:lvl w:ilvl="5" w:tentative="0">
      <w:start w:val="1"/>
      <w:numFmt w:val="decimal"/>
      <w:pStyle w:val="238"/>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2C5917C3"/>
    <w:multiLevelType w:val="multilevel"/>
    <w:tmpl w:val="2C5917C3"/>
    <w:lvl w:ilvl="0" w:tentative="0">
      <w:start w:val="1"/>
      <w:numFmt w:val="none"/>
      <w:pStyle w:val="133"/>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8"/>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75"/>
      <w:lvlText w:val="%1)"/>
      <w:lvlJc w:val="left"/>
      <w:pPr>
        <w:tabs>
          <w:tab w:val="left" w:pos="851"/>
        </w:tabs>
        <w:ind w:left="851" w:hanging="426"/>
      </w:pPr>
      <w:rPr>
        <w:rFonts w:hint="eastAsia" w:ascii="宋体" w:hAnsi="Times New Roman" w:eastAsia="宋体"/>
        <w:sz w:val="21"/>
      </w:rPr>
    </w:lvl>
    <w:lvl w:ilvl="1" w:tentative="0">
      <w:start w:val="1"/>
      <w:numFmt w:val="decimal"/>
      <w:pStyle w:val="110"/>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4"/>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4"/>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200"/>
      <w:suff w:val="space"/>
      <w:lvlText w:val="%1"/>
      <w:lvlJc w:val="left"/>
      <w:pPr>
        <w:ind w:left="425" w:hanging="425"/>
      </w:pPr>
      <w:rPr>
        <w:rFonts w:hint="eastAsia"/>
      </w:rPr>
    </w:lvl>
    <w:lvl w:ilvl="1" w:tentative="0">
      <w:start w:val="1"/>
      <w:numFmt w:val="decimal"/>
      <w:pStyle w:val="7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113"/>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90"/>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77"/>
      <w:suff w:val="nothing"/>
      <w:lvlText w:val="附录%1"/>
      <w:lvlJc w:val="left"/>
      <w:pPr>
        <w:ind w:left="0" w:firstLine="0"/>
      </w:pPr>
      <w:rPr>
        <w:rFonts w:hint="eastAsia"/>
        <w:spacing w:val="100"/>
      </w:rPr>
    </w:lvl>
    <w:lvl w:ilvl="1" w:tentative="0">
      <w:start w:val="1"/>
      <w:numFmt w:val="decimal"/>
      <w:pStyle w:val="79"/>
      <w:suff w:val="nothing"/>
      <w:lvlText w:val="%1.%2　"/>
      <w:lvlJc w:val="left"/>
      <w:pPr>
        <w:ind w:left="0" w:firstLine="0"/>
      </w:pPr>
      <w:rPr>
        <w:rFonts w:hint="eastAsia" w:ascii="黑体" w:eastAsia="黑体"/>
        <w:b w:val="0"/>
        <w:i w:val="0"/>
        <w:sz w:val="21"/>
      </w:rPr>
    </w:lvl>
    <w:lvl w:ilvl="2" w:tentative="0">
      <w:start w:val="1"/>
      <w:numFmt w:val="decimal"/>
      <w:pStyle w:val="80"/>
      <w:suff w:val="nothing"/>
      <w:lvlText w:val="%1.%2.%3　"/>
      <w:lvlJc w:val="left"/>
      <w:pPr>
        <w:ind w:left="0" w:firstLine="0"/>
      </w:pPr>
      <w:rPr>
        <w:rFonts w:hint="eastAsia" w:ascii="黑体" w:eastAsia="黑体"/>
        <w:b w:val="0"/>
        <w:i w:val="0"/>
        <w:sz w:val="21"/>
      </w:rPr>
    </w:lvl>
    <w:lvl w:ilvl="3" w:tentative="0">
      <w:start w:val="1"/>
      <w:numFmt w:val="decimal"/>
      <w:pStyle w:val="82"/>
      <w:suff w:val="nothing"/>
      <w:lvlText w:val="%1.%2.%3.%4　"/>
      <w:lvlJc w:val="left"/>
      <w:pPr>
        <w:ind w:left="0" w:firstLine="0"/>
      </w:pPr>
      <w:rPr>
        <w:rFonts w:hint="eastAsia" w:ascii="黑体" w:eastAsia="黑体"/>
        <w:b w:val="0"/>
        <w:i w:val="0"/>
        <w:sz w:val="21"/>
      </w:rPr>
    </w:lvl>
    <w:lvl w:ilvl="4" w:tentative="0">
      <w:start w:val="1"/>
      <w:numFmt w:val="decimal"/>
      <w:pStyle w:val="83"/>
      <w:suff w:val="nothing"/>
      <w:lvlText w:val="%1.%2.%3.%4.%5　"/>
      <w:lvlJc w:val="left"/>
      <w:pPr>
        <w:ind w:left="0" w:firstLine="0"/>
      </w:pPr>
      <w:rPr>
        <w:rFonts w:hint="eastAsia" w:ascii="黑体" w:eastAsia="黑体"/>
        <w:b w:val="0"/>
        <w:i w:val="0"/>
        <w:sz w:val="21"/>
      </w:rPr>
    </w:lvl>
    <w:lvl w:ilvl="5" w:tentative="0">
      <w:start w:val="1"/>
      <w:numFmt w:val="decimal"/>
      <w:pStyle w:val="85"/>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189"/>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98"/>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105"/>
      <w:suff w:val="nothing"/>
      <w:lvlText w:val="%1%2　"/>
      <w:lvlJc w:val="left"/>
      <w:pPr>
        <w:ind w:left="0" w:firstLine="0"/>
      </w:pPr>
      <w:rPr>
        <w:rFonts w:hint="eastAsia" w:ascii="黑体" w:eastAsia="黑体"/>
        <w:b w:val="0"/>
        <w:i w:val="0"/>
        <w:sz w:val="21"/>
      </w:rPr>
    </w:lvl>
    <w:lvl w:ilvl="2" w:tentative="0">
      <w:start w:val="1"/>
      <w:numFmt w:val="decimal"/>
      <w:pStyle w:val="106"/>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66"/>
      <w:suff w:val="nothing"/>
      <w:lvlText w:val="%1%2.%3.%4　"/>
      <w:lvlJc w:val="left"/>
      <w:pPr>
        <w:ind w:left="0" w:firstLine="0"/>
      </w:pPr>
      <w:rPr>
        <w:rFonts w:hint="eastAsia" w:ascii="黑体" w:eastAsia="黑体"/>
        <w:b w:val="0"/>
        <w:i w:val="0"/>
        <w:sz w:val="21"/>
      </w:rPr>
    </w:lvl>
    <w:lvl w:ilvl="4" w:tentative="0">
      <w:start w:val="1"/>
      <w:numFmt w:val="decimal"/>
      <w:pStyle w:val="95"/>
      <w:suff w:val="nothing"/>
      <w:lvlText w:val="%1%2.%3.%4.%5　"/>
      <w:lvlJc w:val="left"/>
      <w:pPr>
        <w:ind w:left="0" w:firstLine="0"/>
      </w:pPr>
      <w:rPr>
        <w:rFonts w:hint="eastAsia" w:ascii="黑体" w:eastAsia="黑体"/>
        <w:b w:val="0"/>
        <w:i w:val="0"/>
        <w:sz w:val="21"/>
      </w:rPr>
    </w:lvl>
    <w:lvl w:ilvl="5" w:tentative="0">
      <w:start w:val="1"/>
      <w:numFmt w:val="decimal"/>
      <w:pStyle w:val="99"/>
      <w:suff w:val="nothing"/>
      <w:lvlText w:val="%1%2.%3.%4.%5.%6　"/>
      <w:lvlJc w:val="left"/>
      <w:pPr>
        <w:ind w:left="0"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tentative="0">
      <w:start w:val="1"/>
      <w:numFmt w:val="none"/>
      <w:pStyle w:val="180"/>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8"/>
  </w:num>
  <w:num w:numId="8">
    <w:abstractNumId w:val="3"/>
  </w:num>
  <w:num w:numId="9">
    <w:abstractNumId w:val="9"/>
  </w:num>
  <w:num w:numId="10">
    <w:abstractNumId w:val="17"/>
  </w:num>
  <w:num w:numId="11">
    <w:abstractNumId w:val="26"/>
  </w:num>
  <w:num w:numId="12">
    <w:abstractNumId w:val="12"/>
  </w:num>
  <w:num w:numId="13">
    <w:abstractNumId w:val="13"/>
  </w:num>
  <w:num w:numId="14">
    <w:abstractNumId w:val="7"/>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1"/>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10"/>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false"/>
  <w:bordersDoNotSurroundFooter w:val="false"/>
  <w:attachedTemplate r:id="rId1"/>
  <w:documentProtection w:edit="forms"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MxMGM5MGU1OTMwZmMyNDQ4ZTRjOTdkNjEzYzEwZDcifQ=="/>
  </w:docVars>
  <w:rsids>
    <w:rsidRoot w:val="006B710D"/>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154"/>
    <w:rsid w:val="00096CFA"/>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6A1F"/>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26AC"/>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26E2"/>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16D08"/>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B710D"/>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148"/>
    <w:rsid w:val="008603CE"/>
    <w:rsid w:val="008620FC"/>
    <w:rsid w:val="008627A5"/>
    <w:rsid w:val="00863E05"/>
    <w:rsid w:val="00865ACA"/>
    <w:rsid w:val="00865D28"/>
    <w:rsid w:val="00865F85"/>
    <w:rsid w:val="00867C10"/>
    <w:rsid w:val="00870439"/>
    <w:rsid w:val="00870DA1"/>
    <w:rsid w:val="00882136"/>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37E"/>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32AC"/>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0D0D"/>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1BE09C4"/>
    <w:rsid w:val="02444E5B"/>
    <w:rsid w:val="038337F8"/>
    <w:rsid w:val="03A430D6"/>
    <w:rsid w:val="055D0592"/>
    <w:rsid w:val="056F1060"/>
    <w:rsid w:val="05AA04CA"/>
    <w:rsid w:val="05C73BC5"/>
    <w:rsid w:val="0620735F"/>
    <w:rsid w:val="062C318E"/>
    <w:rsid w:val="0647209D"/>
    <w:rsid w:val="08E25FED"/>
    <w:rsid w:val="09800E33"/>
    <w:rsid w:val="0A7E7E09"/>
    <w:rsid w:val="0B4E34C6"/>
    <w:rsid w:val="0B5D0D01"/>
    <w:rsid w:val="0B7D2F9F"/>
    <w:rsid w:val="0CA11E9C"/>
    <w:rsid w:val="0D8E4F6C"/>
    <w:rsid w:val="0FD77BBF"/>
    <w:rsid w:val="101028C4"/>
    <w:rsid w:val="107F6DB2"/>
    <w:rsid w:val="13902E44"/>
    <w:rsid w:val="14016189"/>
    <w:rsid w:val="145A13F0"/>
    <w:rsid w:val="14DF3FA4"/>
    <w:rsid w:val="15464CF9"/>
    <w:rsid w:val="16131070"/>
    <w:rsid w:val="16800E8A"/>
    <w:rsid w:val="16985184"/>
    <w:rsid w:val="18CE45E2"/>
    <w:rsid w:val="19120228"/>
    <w:rsid w:val="1AD10F6B"/>
    <w:rsid w:val="1C1B5646"/>
    <w:rsid w:val="1DB07E76"/>
    <w:rsid w:val="20452C91"/>
    <w:rsid w:val="222546B3"/>
    <w:rsid w:val="22E63934"/>
    <w:rsid w:val="231177A3"/>
    <w:rsid w:val="23CA289F"/>
    <w:rsid w:val="24092201"/>
    <w:rsid w:val="25666AB1"/>
    <w:rsid w:val="26356962"/>
    <w:rsid w:val="26C12759"/>
    <w:rsid w:val="27A426EE"/>
    <w:rsid w:val="27B64475"/>
    <w:rsid w:val="283979DD"/>
    <w:rsid w:val="28C11323"/>
    <w:rsid w:val="2AB27175"/>
    <w:rsid w:val="2ACB3B8E"/>
    <w:rsid w:val="2C8C39F6"/>
    <w:rsid w:val="2C99771A"/>
    <w:rsid w:val="2CFF7C24"/>
    <w:rsid w:val="2DDC7DF6"/>
    <w:rsid w:val="2E76670C"/>
    <w:rsid w:val="2F7C0D80"/>
    <w:rsid w:val="2FF43119"/>
    <w:rsid w:val="300C37CC"/>
    <w:rsid w:val="305B27F4"/>
    <w:rsid w:val="31692F54"/>
    <w:rsid w:val="32517609"/>
    <w:rsid w:val="325E1AB6"/>
    <w:rsid w:val="33034B96"/>
    <w:rsid w:val="33FE20DC"/>
    <w:rsid w:val="347D3BDA"/>
    <w:rsid w:val="359E033D"/>
    <w:rsid w:val="35C26022"/>
    <w:rsid w:val="36EF5D4B"/>
    <w:rsid w:val="375B072C"/>
    <w:rsid w:val="39113C01"/>
    <w:rsid w:val="394A769C"/>
    <w:rsid w:val="3AE668B6"/>
    <w:rsid w:val="3B6F6B81"/>
    <w:rsid w:val="3B922D1B"/>
    <w:rsid w:val="3D2739F3"/>
    <w:rsid w:val="3DBE0EAB"/>
    <w:rsid w:val="3F332CFB"/>
    <w:rsid w:val="40131270"/>
    <w:rsid w:val="40AD48E9"/>
    <w:rsid w:val="40AE3F1F"/>
    <w:rsid w:val="413B32F2"/>
    <w:rsid w:val="4239065F"/>
    <w:rsid w:val="42D06AD7"/>
    <w:rsid w:val="4391606A"/>
    <w:rsid w:val="463351B6"/>
    <w:rsid w:val="46F8163F"/>
    <w:rsid w:val="48070BA1"/>
    <w:rsid w:val="4893018E"/>
    <w:rsid w:val="48D24C1A"/>
    <w:rsid w:val="48F63332"/>
    <w:rsid w:val="49CF643C"/>
    <w:rsid w:val="4A162C24"/>
    <w:rsid w:val="4B0322FB"/>
    <w:rsid w:val="4CC151EC"/>
    <w:rsid w:val="4CFA6A2E"/>
    <w:rsid w:val="4CFD1939"/>
    <w:rsid w:val="4D610382"/>
    <w:rsid w:val="4E1E1297"/>
    <w:rsid w:val="4ED02EB1"/>
    <w:rsid w:val="506C73AB"/>
    <w:rsid w:val="50CA6717"/>
    <w:rsid w:val="51747006"/>
    <w:rsid w:val="54151678"/>
    <w:rsid w:val="55211DD0"/>
    <w:rsid w:val="569A40BE"/>
    <w:rsid w:val="57384A0A"/>
    <w:rsid w:val="58271110"/>
    <w:rsid w:val="5863728D"/>
    <w:rsid w:val="596714DD"/>
    <w:rsid w:val="5A383D18"/>
    <w:rsid w:val="5DD067F8"/>
    <w:rsid w:val="5F08322C"/>
    <w:rsid w:val="5FA61B54"/>
    <w:rsid w:val="604663A9"/>
    <w:rsid w:val="604B13B8"/>
    <w:rsid w:val="617922C5"/>
    <w:rsid w:val="618A2654"/>
    <w:rsid w:val="62485641"/>
    <w:rsid w:val="6299355F"/>
    <w:rsid w:val="62CF4C06"/>
    <w:rsid w:val="64694197"/>
    <w:rsid w:val="64DA5735"/>
    <w:rsid w:val="66081D64"/>
    <w:rsid w:val="661B1CB7"/>
    <w:rsid w:val="66413ADD"/>
    <w:rsid w:val="68272A1B"/>
    <w:rsid w:val="68400EBA"/>
    <w:rsid w:val="69030FE0"/>
    <w:rsid w:val="6A487CC8"/>
    <w:rsid w:val="6A6E4160"/>
    <w:rsid w:val="6AF02D7F"/>
    <w:rsid w:val="6CE61F0A"/>
    <w:rsid w:val="6D965EA7"/>
    <w:rsid w:val="6E0D76CF"/>
    <w:rsid w:val="6E5B0164"/>
    <w:rsid w:val="6F5C5E05"/>
    <w:rsid w:val="6FD373FD"/>
    <w:rsid w:val="730544F5"/>
    <w:rsid w:val="731832FE"/>
    <w:rsid w:val="73594D68"/>
    <w:rsid w:val="744664D4"/>
    <w:rsid w:val="750D6497"/>
    <w:rsid w:val="764566BC"/>
    <w:rsid w:val="772A2322"/>
    <w:rsid w:val="785119BD"/>
    <w:rsid w:val="789A04F9"/>
    <w:rsid w:val="790D44A7"/>
    <w:rsid w:val="79A669E4"/>
    <w:rsid w:val="7E0771BC"/>
    <w:rsid w:val="7E101665"/>
    <w:rsid w:val="7EFE6417"/>
    <w:rsid w:val="7F533F95"/>
    <w:rsid w:val="7F55394D"/>
    <w:rsid w:val="DFDB6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7"/>
    <w:qFormat/>
    <w:uiPriority w:val="0"/>
    <w:pPr>
      <w:keepNext/>
      <w:keepLines/>
      <w:spacing w:before="260" w:after="260" w:line="416" w:lineRule="auto"/>
      <w:outlineLvl w:val="2"/>
    </w:pPr>
    <w:rPr>
      <w:b/>
      <w:bCs/>
      <w:sz w:val="32"/>
      <w:szCs w:val="32"/>
    </w:rPr>
  </w:style>
  <w:style w:type="paragraph" w:styleId="5">
    <w:name w:val="heading 4"/>
    <w:basedOn w:val="1"/>
    <w:next w:val="1"/>
    <w:link w:val="3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9"/>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0"/>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1"/>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2"/>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3"/>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semiHidden/>
    <w:unhideWhenUsed/>
    <w:qFormat/>
    <w:uiPriority w:val="99"/>
    <w:pPr>
      <w:jc w:val="left"/>
    </w:pPr>
  </w:style>
  <w:style w:type="paragraph" w:styleId="14">
    <w:name w:val="Body Text"/>
    <w:basedOn w:val="1"/>
    <w:link w:val="87"/>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6"/>
    <w:semiHidden/>
    <w:unhideWhenUsed/>
    <w:qFormat/>
    <w:uiPriority w:val="99"/>
    <w:rPr>
      <w:sz w:val="18"/>
      <w:szCs w:val="18"/>
    </w:rPr>
  </w:style>
  <w:style w:type="paragraph" w:styleId="18">
    <w:name w:val="footer"/>
    <w:basedOn w:val="1"/>
    <w:link w:val="45"/>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4"/>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0"/>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49"/>
    <w:qFormat/>
    <w:uiPriority w:val="0"/>
    <w:pPr>
      <w:spacing w:before="240" w:after="60"/>
      <w:jc w:val="center"/>
      <w:outlineLvl w:val="0"/>
    </w:pPr>
    <w:rPr>
      <w:rFonts w:ascii="Arial" w:hAnsi="Arial" w:cs="Arial"/>
      <w:b/>
      <w:bCs/>
      <w:sz w:val="32"/>
      <w:szCs w:val="32"/>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22"/>
    <w:rPr>
      <w:b/>
      <w:bCs/>
    </w:rPr>
  </w:style>
  <w:style w:type="character" w:styleId="31">
    <w:name w:val="page number"/>
    <w:qFormat/>
    <w:uiPriority w:val="0"/>
    <w:rPr>
      <w:rFonts w:ascii="宋体" w:hAnsi="Times New Roman" w:eastAsia="宋体"/>
      <w:sz w:val="18"/>
    </w:rPr>
  </w:style>
  <w:style w:type="character" w:styleId="32">
    <w:name w:val="Emphasis"/>
    <w:qFormat/>
    <w:uiPriority w:val="20"/>
    <w:rPr>
      <w:i/>
      <w:iCs/>
    </w:rPr>
  </w:style>
  <w:style w:type="character" w:styleId="33">
    <w:name w:val="Hyperlink"/>
    <w:qFormat/>
    <w:uiPriority w:val="99"/>
    <w:rPr>
      <w:rFonts w:ascii="宋体" w:hAnsi="Times New Roman" w:eastAsia="宋体"/>
      <w:color w:val="auto"/>
      <w:spacing w:val="0"/>
      <w:w w:val="100"/>
      <w:position w:val="0"/>
      <w:sz w:val="21"/>
      <w:u w:val="none"/>
      <w:vertAlign w:val="baseline"/>
    </w:rPr>
  </w:style>
  <w:style w:type="character" w:styleId="34">
    <w:name w:val="footnote reference"/>
    <w:semiHidden/>
    <w:qFormat/>
    <w:uiPriority w:val="0"/>
    <w:rPr>
      <w:rFonts w:ascii="宋体" w:hAnsi="宋体" w:eastAsia="宋体" w:cs="Times New Roman"/>
      <w:spacing w:val="0"/>
      <w:sz w:val="18"/>
      <w:vertAlign w:val="superscript"/>
    </w:rPr>
  </w:style>
  <w:style w:type="character" w:customStyle="1" w:styleId="35">
    <w:name w:val="标题 1 字符"/>
    <w:link w:val="2"/>
    <w:qFormat/>
    <w:uiPriority w:val="0"/>
    <w:rPr>
      <w:b/>
      <w:bCs/>
      <w:kern w:val="44"/>
      <w:sz w:val="44"/>
      <w:szCs w:val="44"/>
    </w:rPr>
  </w:style>
  <w:style w:type="character" w:customStyle="1" w:styleId="36">
    <w:name w:val="标题 2 字符"/>
    <w:link w:val="3"/>
    <w:qFormat/>
    <w:uiPriority w:val="0"/>
    <w:rPr>
      <w:rFonts w:ascii="Arial" w:hAnsi="Arial" w:eastAsia="黑体"/>
      <w:b/>
      <w:bCs/>
      <w:kern w:val="2"/>
      <w:sz w:val="32"/>
      <w:szCs w:val="32"/>
    </w:rPr>
  </w:style>
  <w:style w:type="character" w:customStyle="1" w:styleId="37">
    <w:name w:val="标题 3 字符"/>
    <w:link w:val="4"/>
    <w:qFormat/>
    <w:uiPriority w:val="0"/>
    <w:rPr>
      <w:b/>
      <w:bCs/>
      <w:kern w:val="2"/>
      <w:sz w:val="32"/>
      <w:szCs w:val="32"/>
    </w:rPr>
  </w:style>
  <w:style w:type="character" w:customStyle="1" w:styleId="38">
    <w:name w:val="标题 4 字符"/>
    <w:link w:val="5"/>
    <w:qFormat/>
    <w:uiPriority w:val="0"/>
    <w:rPr>
      <w:rFonts w:ascii="Arial" w:hAnsi="Arial" w:eastAsia="黑体"/>
      <w:b/>
      <w:bCs/>
      <w:kern w:val="2"/>
      <w:sz w:val="28"/>
      <w:szCs w:val="28"/>
    </w:rPr>
  </w:style>
  <w:style w:type="character" w:customStyle="1" w:styleId="39">
    <w:name w:val="标题 5 字符"/>
    <w:link w:val="6"/>
    <w:qFormat/>
    <w:uiPriority w:val="0"/>
    <w:rPr>
      <w:b/>
      <w:bCs/>
      <w:kern w:val="2"/>
      <w:sz w:val="28"/>
      <w:szCs w:val="28"/>
    </w:rPr>
  </w:style>
  <w:style w:type="character" w:customStyle="1" w:styleId="40">
    <w:name w:val="标题 6 字符"/>
    <w:link w:val="7"/>
    <w:qFormat/>
    <w:uiPriority w:val="0"/>
    <w:rPr>
      <w:rFonts w:ascii="Arial" w:hAnsi="Arial" w:eastAsia="黑体"/>
      <w:b/>
      <w:bCs/>
      <w:kern w:val="2"/>
      <w:sz w:val="24"/>
      <w:szCs w:val="24"/>
    </w:rPr>
  </w:style>
  <w:style w:type="character" w:customStyle="1" w:styleId="41">
    <w:name w:val="标题 7 字符"/>
    <w:link w:val="8"/>
    <w:qFormat/>
    <w:uiPriority w:val="0"/>
    <w:rPr>
      <w:b/>
      <w:bCs/>
      <w:kern w:val="2"/>
      <w:sz w:val="24"/>
      <w:szCs w:val="24"/>
    </w:rPr>
  </w:style>
  <w:style w:type="character" w:customStyle="1" w:styleId="42">
    <w:name w:val="标题 8 字符"/>
    <w:link w:val="9"/>
    <w:qFormat/>
    <w:uiPriority w:val="0"/>
    <w:rPr>
      <w:rFonts w:ascii="Arial" w:hAnsi="Arial" w:eastAsia="黑体"/>
      <w:kern w:val="2"/>
      <w:sz w:val="24"/>
      <w:szCs w:val="24"/>
    </w:rPr>
  </w:style>
  <w:style w:type="character" w:customStyle="1" w:styleId="43">
    <w:name w:val="标题 9 字符"/>
    <w:link w:val="10"/>
    <w:qFormat/>
    <w:uiPriority w:val="0"/>
    <w:rPr>
      <w:rFonts w:ascii="Arial" w:hAnsi="Arial" w:eastAsia="黑体"/>
      <w:kern w:val="2"/>
      <w:sz w:val="21"/>
      <w:szCs w:val="21"/>
    </w:rPr>
  </w:style>
  <w:style w:type="character" w:customStyle="1" w:styleId="44">
    <w:name w:val="页眉 字符"/>
    <w:link w:val="19"/>
    <w:qFormat/>
    <w:uiPriority w:val="99"/>
    <w:rPr>
      <w:kern w:val="2"/>
      <w:sz w:val="18"/>
      <w:szCs w:val="18"/>
    </w:rPr>
  </w:style>
  <w:style w:type="character" w:customStyle="1" w:styleId="45">
    <w:name w:val="页脚 字符"/>
    <w:link w:val="18"/>
    <w:qFormat/>
    <w:uiPriority w:val="99"/>
    <w:rPr>
      <w:rFonts w:ascii="宋体"/>
      <w:kern w:val="2"/>
      <w:sz w:val="18"/>
      <w:szCs w:val="18"/>
    </w:rPr>
  </w:style>
  <w:style w:type="character" w:customStyle="1" w:styleId="46">
    <w:name w:val="批注框文本 字符"/>
    <w:link w:val="17"/>
    <w:semiHidden/>
    <w:qFormat/>
    <w:uiPriority w:val="99"/>
    <w:rPr>
      <w:kern w:val="2"/>
      <w:sz w:val="18"/>
      <w:szCs w:val="18"/>
    </w:rPr>
  </w:style>
  <w:style w:type="paragraph" w:styleId="47">
    <w:name w:val="Quote"/>
    <w:basedOn w:val="1"/>
    <w:next w:val="1"/>
    <w:link w:val="48"/>
    <w:qFormat/>
    <w:uiPriority w:val="29"/>
    <w:rPr>
      <w:i/>
      <w:iCs/>
      <w:color w:val="000000"/>
    </w:rPr>
  </w:style>
  <w:style w:type="character" w:customStyle="1" w:styleId="48">
    <w:name w:val="引用 字符"/>
    <w:link w:val="47"/>
    <w:qFormat/>
    <w:uiPriority w:val="29"/>
    <w:rPr>
      <w:i/>
      <w:iCs/>
      <w:color w:val="000000"/>
      <w:kern w:val="2"/>
      <w:sz w:val="21"/>
      <w:szCs w:val="21"/>
    </w:rPr>
  </w:style>
  <w:style w:type="character" w:customStyle="1" w:styleId="49">
    <w:name w:val="标题 字符"/>
    <w:link w:val="26"/>
    <w:qFormat/>
    <w:uiPriority w:val="0"/>
    <w:rPr>
      <w:rFonts w:ascii="Arial" w:hAnsi="Arial" w:cs="Arial"/>
      <w:b/>
      <w:bCs/>
      <w:kern w:val="2"/>
      <w:sz w:val="32"/>
      <w:szCs w:val="32"/>
    </w:rPr>
  </w:style>
  <w:style w:type="paragraph" w:customStyle="1" w:styleId="5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2">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3">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4">
    <w:name w:val="标准书眉一"/>
    <w:qFormat/>
    <w:uiPriority w:val="0"/>
    <w:pPr>
      <w:jc w:val="both"/>
    </w:pPr>
    <w:rPr>
      <w:rFonts w:ascii="Times New Roman" w:hAnsi="Times New Roman" w:eastAsia="宋体" w:cs="Times New Roman"/>
      <w:lang w:val="en-US" w:eastAsia="zh-CN" w:bidi="ar-SA"/>
    </w:rPr>
  </w:style>
  <w:style w:type="paragraph" w:customStyle="1" w:styleId="55">
    <w:name w:val="标准文件_ICS"/>
    <w:basedOn w:val="1"/>
    <w:qFormat/>
    <w:uiPriority w:val="0"/>
    <w:pPr>
      <w:spacing w:line="0" w:lineRule="atLeast"/>
    </w:pPr>
    <w:rPr>
      <w:rFonts w:ascii="黑体" w:hAnsi="宋体" w:eastAsia="黑体"/>
    </w:rPr>
  </w:style>
  <w:style w:type="paragraph" w:customStyle="1" w:styleId="56">
    <w:name w:val="标准文件_标准正文"/>
    <w:basedOn w:val="1"/>
    <w:next w:val="57"/>
    <w:qFormat/>
    <w:uiPriority w:val="0"/>
    <w:pPr>
      <w:snapToGrid w:val="0"/>
      <w:ind w:firstLine="200" w:firstLineChars="200"/>
    </w:pPr>
    <w:rPr>
      <w:kern w:val="0"/>
    </w:rPr>
  </w:style>
  <w:style w:type="paragraph" w:customStyle="1" w:styleId="57">
    <w:name w:val="标准文件_段"/>
    <w:link w:val="18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标准文件_版本"/>
    <w:basedOn w:val="56"/>
    <w:qFormat/>
    <w:uiPriority w:val="0"/>
    <w:pPr>
      <w:adjustRightInd/>
      <w:snapToGrid/>
      <w:ind w:firstLine="0" w:firstLineChars="0"/>
    </w:pPr>
    <w:rPr>
      <w:rFonts w:ascii="宋体" w:hAnsi="宋体"/>
      <w:kern w:val="2"/>
    </w:rPr>
  </w:style>
  <w:style w:type="paragraph" w:customStyle="1" w:styleId="59">
    <w:name w:val="标准文件_标准部门"/>
    <w:basedOn w:val="1"/>
    <w:qFormat/>
    <w:uiPriority w:val="0"/>
    <w:pPr>
      <w:jc w:val="center"/>
    </w:pPr>
    <w:rPr>
      <w:rFonts w:ascii="黑体" w:eastAsia="黑体"/>
      <w:kern w:val="0"/>
      <w:sz w:val="44"/>
    </w:rPr>
  </w:style>
  <w:style w:type="paragraph" w:customStyle="1" w:styleId="60">
    <w:name w:val="标准文件_标准代替"/>
    <w:basedOn w:val="1"/>
    <w:next w:val="1"/>
    <w:qFormat/>
    <w:uiPriority w:val="0"/>
    <w:pPr>
      <w:spacing w:line="310" w:lineRule="exact"/>
      <w:jc w:val="right"/>
    </w:pPr>
    <w:rPr>
      <w:rFonts w:ascii="宋体" w:hAnsi="宋体"/>
      <w:kern w:val="0"/>
    </w:rPr>
  </w:style>
  <w:style w:type="paragraph" w:customStyle="1" w:styleId="61">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2">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3">
    <w:name w:val="标准文件_页眉偶数页"/>
    <w:basedOn w:val="62"/>
    <w:next w:val="1"/>
    <w:qFormat/>
    <w:uiPriority w:val="0"/>
    <w:pPr>
      <w:jc w:val="left"/>
    </w:pPr>
  </w:style>
  <w:style w:type="paragraph" w:customStyle="1" w:styleId="64">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5">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6">
    <w:name w:val="标准文件_二级条标题"/>
    <w:next w:val="57"/>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7">
    <w:name w:val="标准文件_发布"/>
    <w:qFormat/>
    <w:uiPriority w:val="0"/>
    <w:rPr>
      <w:rFonts w:ascii="黑体" w:eastAsia="黑体"/>
      <w:spacing w:val="0"/>
      <w:w w:val="100"/>
      <w:position w:val="3"/>
      <w:sz w:val="28"/>
    </w:rPr>
  </w:style>
  <w:style w:type="paragraph" w:customStyle="1" w:styleId="68">
    <w:name w:val="标准文件_方框数字列项"/>
    <w:basedOn w:val="57"/>
    <w:qFormat/>
    <w:uiPriority w:val="0"/>
    <w:pPr>
      <w:numPr>
        <w:ilvl w:val="0"/>
        <w:numId w:val="3"/>
      </w:numPr>
      <w:ind w:firstLine="0" w:firstLineChars="0"/>
    </w:pPr>
  </w:style>
  <w:style w:type="paragraph" w:customStyle="1" w:styleId="69">
    <w:name w:val="标准文件_封面标准编号"/>
    <w:basedOn w:val="1"/>
    <w:next w:val="60"/>
    <w:qFormat/>
    <w:uiPriority w:val="0"/>
    <w:pPr>
      <w:spacing w:line="310" w:lineRule="exact"/>
      <w:jc w:val="right"/>
    </w:pPr>
    <w:rPr>
      <w:rFonts w:ascii="黑体" w:eastAsia="黑体"/>
      <w:kern w:val="0"/>
      <w:sz w:val="28"/>
    </w:rPr>
  </w:style>
  <w:style w:type="paragraph" w:customStyle="1" w:styleId="70">
    <w:name w:val="标准文件_封面标准分类号"/>
    <w:basedOn w:val="1"/>
    <w:qFormat/>
    <w:uiPriority w:val="0"/>
    <w:rPr>
      <w:rFonts w:ascii="黑体" w:eastAsia="黑体"/>
      <w:b/>
      <w:kern w:val="0"/>
      <w:sz w:val="28"/>
    </w:rPr>
  </w:style>
  <w:style w:type="paragraph" w:customStyle="1" w:styleId="71">
    <w:name w:val="标准文件_封面标准名称"/>
    <w:basedOn w:val="1"/>
    <w:qFormat/>
    <w:uiPriority w:val="0"/>
    <w:pPr>
      <w:spacing w:line="240" w:lineRule="auto"/>
      <w:jc w:val="center"/>
    </w:pPr>
    <w:rPr>
      <w:rFonts w:ascii="黑体" w:eastAsia="黑体"/>
      <w:kern w:val="0"/>
      <w:sz w:val="52"/>
    </w:rPr>
  </w:style>
  <w:style w:type="paragraph" w:customStyle="1" w:styleId="72">
    <w:name w:val="标准文件_封面标准英文名称"/>
    <w:basedOn w:val="1"/>
    <w:qFormat/>
    <w:uiPriority w:val="0"/>
    <w:pPr>
      <w:spacing w:line="240" w:lineRule="auto"/>
      <w:jc w:val="center"/>
    </w:pPr>
    <w:rPr>
      <w:rFonts w:ascii="黑体" w:eastAsia="黑体"/>
      <w:b/>
      <w:sz w:val="28"/>
    </w:rPr>
  </w:style>
  <w:style w:type="paragraph" w:customStyle="1" w:styleId="73">
    <w:name w:val="标准文件_封面发布日期"/>
    <w:basedOn w:val="1"/>
    <w:qFormat/>
    <w:uiPriority w:val="0"/>
    <w:pPr>
      <w:spacing w:line="310" w:lineRule="exact"/>
    </w:pPr>
    <w:rPr>
      <w:rFonts w:ascii="黑体" w:eastAsia="黑体"/>
      <w:kern w:val="0"/>
      <w:sz w:val="28"/>
    </w:rPr>
  </w:style>
  <w:style w:type="paragraph" w:customStyle="1" w:styleId="74">
    <w:name w:val="标准文件_封面密级"/>
    <w:basedOn w:val="1"/>
    <w:qFormat/>
    <w:uiPriority w:val="0"/>
    <w:rPr>
      <w:rFonts w:eastAsia="黑体"/>
      <w:sz w:val="32"/>
    </w:rPr>
  </w:style>
  <w:style w:type="paragraph" w:customStyle="1" w:styleId="75">
    <w:name w:val="标准文件_封面实施日期"/>
    <w:basedOn w:val="1"/>
    <w:qFormat/>
    <w:uiPriority w:val="0"/>
    <w:pPr>
      <w:spacing w:line="310" w:lineRule="exact"/>
      <w:jc w:val="right"/>
    </w:pPr>
    <w:rPr>
      <w:rFonts w:ascii="黑体" w:eastAsia="黑体"/>
      <w:sz w:val="28"/>
    </w:rPr>
  </w:style>
  <w:style w:type="paragraph" w:customStyle="1" w:styleId="76">
    <w:name w:val="标准文件_封面抬头"/>
    <w:basedOn w:val="57"/>
    <w:qFormat/>
    <w:uiPriority w:val="0"/>
    <w:pPr>
      <w:adjustRightInd w:val="0"/>
      <w:spacing w:line="800" w:lineRule="exact"/>
      <w:ind w:firstLine="0" w:firstLineChars="0"/>
      <w:jc w:val="distribute"/>
    </w:pPr>
    <w:rPr>
      <w:rFonts w:ascii="黑体" w:eastAsia="黑体"/>
      <w:b/>
      <w:sz w:val="64"/>
    </w:rPr>
  </w:style>
  <w:style w:type="paragraph" w:customStyle="1" w:styleId="77">
    <w:name w:val="标准文件_附录标识"/>
    <w:next w:val="57"/>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8">
    <w:name w:val="标准文件_附录表标题"/>
    <w:next w:val="57"/>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9">
    <w:name w:val="标准文件_附录一级条标题"/>
    <w:next w:val="57"/>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0">
    <w:name w:val="标准文件_附录二级条标题"/>
    <w:basedOn w:val="79"/>
    <w:next w:val="57"/>
    <w:qFormat/>
    <w:uiPriority w:val="0"/>
    <w:pPr>
      <w:widowControl/>
      <w:numPr>
        <w:ilvl w:val="2"/>
      </w:numPr>
      <w:wordWrap w:val="0"/>
      <w:overflowPunct w:val="0"/>
      <w:autoSpaceDE w:val="0"/>
      <w:autoSpaceDN w:val="0"/>
      <w:textAlignment w:val="baseline"/>
      <w:outlineLvl w:val="3"/>
    </w:pPr>
  </w:style>
  <w:style w:type="paragraph" w:customStyle="1" w:styleId="81">
    <w:name w:val="标准文件_附录公式"/>
    <w:basedOn w:val="56"/>
    <w:next w:val="56"/>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2">
    <w:name w:val="标准文件_附录三级条标题"/>
    <w:next w:val="57"/>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3">
    <w:name w:val="标准文件_附录四级条标题"/>
    <w:next w:val="57"/>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4">
    <w:name w:val="标准文件_附录图标题"/>
    <w:next w:val="57"/>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5">
    <w:name w:val="标准文件_附录五级条标题"/>
    <w:next w:val="57"/>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6">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7">
    <w:name w:val="正文文本 字符"/>
    <w:link w:val="14"/>
    <w:qFormat/>
    <w:uiPriority w:val="0"/>
    <w:rPr>
      <w:kern w:val="2"/>
      <w:sz w:val="21"/>
      <w:szCs w:val="21"/>
    </w:rPr>
  </w:style>
  <w:style w:type="paragraph" w:customStyle="1" w:styleId="88">
    <w:name w:val="标准文件_附录章标题"/>
    <w:next w:val="57"/>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9">
    <w:name w:val="标准文件_公式后的破折号"/>
    <w:basedOn w:val="57"/>
    <w:next w:val="57"/>
    <w:qFormat/>
    <w:uiPriority w:val="0"/>
    <w:pPr>
      <w:ind w:left="488" w:leftChars="200" w:hanging="289" w:hangingChars="290"/>
    </w:pPr>
  </w:style>
  <w:style w:type="paragraph" w:customStyle="1" w:styleId="90">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1">
    <w:name w:val="标准文件_目次、标准名称标题"/>
    <w:basedOn w:val="90"/>
    <w:next w:val="57"/>
    <w:qFormat/>
    <w:uiPriority w:val="0"/>
    <w:pPr>
      <w:spacing w:line="460" w:lineRule="exact"/>
      <w:ind w:left="0" w:firstLine="0"/>
    </w:pPr>
  </w:style>
  <w:style w:type="paragraph" w:customStyle="1" w:styleId="92">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3">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4">
    <w:name w:val="标准文件_破折号列项（二级）"/>
    <w:basedOn w:val="93"/>
    <w:qFormat/>
    <w:uiPriority w:val="0"/>
    <w:pPr>
      <w:numPr>
        <w:numId w:val="10"/>
      </w:numPr>
    </w:pPr>
  </w:style>
  <w:style w:type="paragraph" w:customStyle="1" w:styleId="95">
    <w:name w:val="标准文件_三级条标题"/>
    <w:basedOn w:val="66"/>
    <w:next w:val="57"/>
    <w:qFormat/>
    <w:uiPriority w:val="0"/>
    <w:pPr>
      <w:widowControl/>
      <w:numPr>
        <w:ilvl w:val="4"/>
      </w:numPr>
      <w:outlineLvl w:val="3"/>
    </w:pPr>
  </w:style>
  <w:style w:type="character" w:customStyle="1" w:styleId="96">
    <w:name w:val="Subtle Reference"/>
    <w:qFormat/>
    <w:uiPriority w:val="31"/>
    <w:rPr>
      <w:smallCaps/>
      <w:color w:val="C0504D"/>
      <w:u w:val="single"/>
    </w:rPr>
  </w:style>
  <w:style w:type="paragraph" w:customStyle="1" w:styleId="97">
    <w:name w:val="标准文件_示例后续"/>
    <w:basedOn w:val="1"/>
    <w:qFormat/>
    <w:uiPriority w:val="0"/>
    <w:pPr>
      <w:adjustRightInd/>
      <w:spacing w:line="240" w:lineRule="auto"/>
      <w:ind w:firstLine="200" w:firstLineChars="200"/>
    </w:pPr>
    <w:rPr>
      <w:sz w:val="18"/>
      <w:szCs w:val="24"/>
    </w:rPr>
  </w:style>
  <w:style w:type="paragraph" w:customStyle="1" w:styleId="98">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9">
    <w:name w:val="标准文件_四级条标题"/>
    <w:next w:val="57"/>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0">
    <w:name w:val="脚注文本 字符"/>
    <w:link w:val="22"/>
    <w:semiHidden/>
    <w:qFormat/>
    <w:uiPriority w:val="0"/>
    <w:rPr>
      <w:rFonts w:ascii="宋体"/>
      <w:kern w:val="2"/>
      <w:sz w:val="18"/>
      <w:szCs w:val="18"/>
    </w:rPr>
  </w:style>
  <w:style w:type="paragraph" w:customStyle="1" w:styleId="101">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7"/>
    <w:qFormat/>
    <w:uiPriority w:val="0"/>
    <w:pPr>
      <w:numPr>
        <w:ilvl w:val="0"/>
        <w:numId w:val="12"/>
      </w:numPr>
      <w:spacing w:line="240" w:lineRule="auto"/>
      <w:jc w:val="left"/>
    </w:pPr>
    <w:rPr>
      <w:rFonts w:ascii="宋体" w:hAnsi="宋体"/>
      <w:sz w:val="18"/>
    </w:rPr>
  </w:style>
  <w:style w:type="character" w:customStyle="1" w:styleId="103">
    <w:name w:val="标准文件_图表脚注内容"/>
    <w:qFormat/>
    <w:uiPriority w:val="0"/>
    <w:rPr>
      <w:rFonts w:ascii="宋体" w:hAnsi="宋体" w:eastAsia="宋体" w:cs="Times New Roman"/>
      <w:spacing w:val="0"/>
      <w:sz w:val="18"/>
      <w:vertAlign w:val="superscript"/>
    </w:rPr>
  </w:style>
  <w:style w:type="paragraph" w:customStyle="1" w:styleId="104">
    <w:name w:val="标准文件_五级条标题"/>
    <w:next w:val="57"/>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7"/>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7"/>
    <w:qFormat/>
    <w:uiPriority w:val="0"/>
    <w:pPr>
      <w:numPr>
        <w:ilvl w:val="2"/>
      </w:numPr>
      <w:spacing w:before="50" w:beforeLines="50" w:after="50" w:afterLines="50"/>
      <w:outlineLvl w:val="1"/>
    </w:pPr>
  </w:style>
  <w:style w:type="paragraph" w:customStyle="1" w:styleId="107">
    <w:name w:val="标准文件_一致程度"/>
    <w:basedOn w:val="1"/>
    <w:qFormat/>
    <w:uiPriority w:val="0"/>
    <w:pPr>
      <w:spacing w:line="440" w:lineRule="exact"/>
      <w:jc w:val="center"/>
    </w:pPr>
    <w:rPr>
      <w:sz w:val="28"/>
    </w:rPr>
  </w:style>
  <w:style w:type="paragraph" w:customStyle="1" w:styleId="108">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6"/>
    <w:qFormat/>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1">
    <w:name w:val="标准文件_英文注："/>
    <w:basedOn w:val="1"/>
    <w:next w:val="57"/>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2">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3">
    <w:name w:val="标准文件_正文表标题"/>
    <w:next w:val="57"/>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4">
    <w:name w:val="标准文件_正文公式"/>
    <w:basedOn w:val="1"/>
    <w:next w:val="56"/>
    <w:qFormat/>
    <w:uiPriority w:val="0"/>
    <w:pPr>
      <w:tabs>
        <w:tab w:val="center" w:pos="4678"/>
        <w:tab w:val="right" w:leader="middleDot" w:pos="9356"/>
      </w:tabs>
      <w:spacing w:line="240" w:lineRule="auto"/>
    </w:pPr>
    <w:rPr>
      <w:rFonts w:ascii="宋体" w:hAnsi="宋体"/>
    </w:rPr>
  </w:style>
  <w:style w:type="paragraph" w:customStyle="1" w:styleId="115">
    <w:name w:val="标准文件_正文图标题"/>
    <w:next w:val="57"/>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7"/>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7">
    <w:name w:val="标准文件_正文英文图标题"/>
    <w:next w:val="57"/>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8">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9">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0">
    <w:name w:val="发布部门"/>
    <w:next w:val="57"/>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qFormat/>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7"/>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0">
    <w:name w:val="附录三级无标题条"/>
    <w:basedOn w:val="129"/>
    <w:next w:val="57"/>
    <w:qFormat/>
    <w:uiPriority w:val="0"/>
    <w:pPr>
      <w:outlineLvl w:val="4"/>
    </w:pPr>
  </w:style>
  <w:style w:type="paragraph" w:customStyle="1" w:styleId="131">
    <w:name w:val="附录四级无标题条"/>
    <w:basedOn w:val="130"/>
    <w:next w:val="57"/>
    <w:qFormat/>
    <w:uiPriority w:val="0"/>
    <w:pPr>
      <w:outlineLvl w:val="5"/>
    </w:pPr>
  </w:style>
  <w:style w:type="paragraph" w:customStyle="1" w:styleId="132">
    <w:name w:val="附录图"/>
    <w:next w:val="57"/>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4">
    <w:name w:val="附录五级无标题条"/>
    <w:basedOn w:val="131"/>
    <w:next w:val="57"/>
    <w:qFormat/>
    <w:uiPriority w:val="0"/>
    <w:pPr>
      <w:outlineLvl w:val="6"/>
    </w:pPr>
  </w:style>
  <w:style w:type="paragraph" w:customStyle="1" w:styleId="135">
    <w:name w:val="附录性质"/>
    <w:basedOn w:val="1"/>
    <w:qFormat/>
    <w:uiPriority w:val="0"/>
    <w:pPr>
      <w:widowControl/>
      <w:adjustRightInd/>
      <w:jc w:val="center"/>
    </w:pPr>
    <w:rPr>
      <w:rFonts w:ascii="黑体" w:eastAsia="黑体"/>
    </w:rPr>
  </w:style>
  <w:style w:type="paragraph" w:customStyle="1" w:styleId="136">
    <w:name w:val="附录一级无标题条"/>
    <w:basedOn w:val="88"/>
    <w:next w:val="57"/>
    <w:qFormat/>
    <w:uiPriority w:val="0"/>
    <w:pPr>
      <w:autoSpaceDN w:val="0"/>
      <w:outlineLvl w:val="2"/>
    </w:pPr>
    <w:rPr>
      <w:rFonts w:ascii="宋体" w:hAnsi="宋体" w:eastAsia="宋体"/>
    </w:rPr>
  </w:style>
  <w:style w:type="character" w:customStyle="1" w:styleId="137">
    <w:name w:val="个人答复风格"/>
    <w:qFormat/>
    <w:uiPriority w:val="0"/>
    <w:rPr>
      <w:rFonts w:ascii="Arial" w:hAnsi="Arial" w:eastAsia="宋体" w:cs="Arial"/>
      <w:color w:val="auto"/>
      <w:spacing w:val="0"/>
      <w:sz w:val="20"/>
    </w:rPr>
  </w:style>
  <w:style w:type="character" w:customStyle="1" w:styleId="138">
    <w:name w:val="个人撰写风格"/>
    <w:qFormat/>
    <w:uiPriority w:val="0"/>
    <w:rPr>
      <w:rFonts w:ascii="Arial" w:hAnsi="Arial" w:eastAsia="宋体" w:cs="Arial"/>
      <w:color w:val="auto"/>
      <w:spacing w:val="0"/>
      <w:sz w:val="20"/>
    </w:rPr>
  </w:style>
  <w:style w:type="paragraph" w:customStyle="1" w:styleId="139">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1">
    <w:name w:val="列项·"/>
    <w:basedOn w:val="57"/>
    <w:qFormat/>
    <w:uiPriority w:val="0"/>
    <w:pPr>
      <w:tabs>
        <w:tab w:val="left" w:pos="840"/>
      </w:tabs>
    </w:pPr>
  </w:style>
  <w:style w:type="paragraph" w:customStyle="1" w:styleId="14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semiHidden/>
    <w:qFormat/>
    <w:uiPriority w:val="0"/>
    <w:pPr>
      <w:adjustRightInd/>
      <w:spacing w:line="240" w:lineRule="auto"/>
      <w:jc w:val="left"/>
    </w:pPr>
    <w:rPr>
      <w:bCs/>
      <w:iCs/>
    </w:rPr>
  </w:style>
  <w:style w:type="paragraph" w:customStyle="1" w:styleId="144">
    <w:name w:val="目录 31"/>
    <w:basedOn w:val="1"/>
    <w:next w:val="1"/>
    <w:semiHidden/>
    <w:qFormat/>
    <w:uiPriority w:val="0"/>
    <w:pPr>
      <w:spacing w:line="240" w:lineRule="auto"/>
    </w:pPr>
    <w:rPr>
      <w:rFonts w:ascii="宋体" w:hAnsi="宋体"/>
      <w:iCs/>
    </w:rPr>
  </w:style>
  <w:style w:type="paragraph" w:customStyle="1" w:styleId="145">
    <w:name w:val="目录 41"/>
    <w:basedOn w:val="1"/>
    <w:next w:val="1"/>
    <w:semiHidden/>
    <w:qFormat/>
    <w:uiPriority w:val="0"/>
    <w:pPr>
      <w:adjustRightInd/>
      <w:spacing w:line="240" w:lineRule="auto"/>
      <w:jc w:val="left"/>
    </w:pPr>
  </w:style>
  <w:style w:type="paragraph" w:customStyle="1" w:styleId="146">
    <w:name w:val="目录 51"/>
    <w:basedOn w:val="1"/>
    <w:next w:val="1"/>
    <w:semiHidden/>
    <w:qFormat/>
    <w:uiPriority w:val="0"/>
    <w:pPr>
      <w:spacing w:line="240" w:lineRule="auto"/>
    </w:pPr>
    <w:rPr>
      <w:rFonts w:ascii="宋体" w:hAnsi="宋体"/>
    </w:rPr>
  </w:style>
  <w:style w:type="paragraph" w:customStyle="1" w:styleId="147">
    <w:name w:val="目录 61"/>
    <w:basedOn w:val="1"/>
    <w:next w:val="1"/>
    <w:semiHidden/>
    <w:qFormat/>
    <w:uiPriority w:val="0"/>
    <w:pPr>
      <w:adjustRightInd/>
      <w:spacing w:line="240" w:lineRule="auto"/>
      <w:jc w:val="left"/>
    </w:pPr>
  </w:style>
  <w:style w:type="paragraph" w:customStyle="1" w:styleId="148">
    <w:name w:val="目录 71"/>
    <w:basedOn w:val="147"/>
    <w:semiHidden/>
    <w:qFormat/>
    <w:uiPriority w:val="0"/>
    <w:pPr>
      <w:ind w:left="1260"/>
    </w:pPr>
  </w:style>
  <w:style w:type="paragraph" w:customStyle="1" w:styleId="149">
    <w:name w:val="目录 81"/>
    <w:basedOn w:val="148"/>
    <w:semiHidden/>
    <w:qFormat/>
    <w:uiPriority w:val="0"/>
    <w:pPr>
      <w:ind w:left="1470"/>
    </w:pPr>
  </w:style>
  <w:style w:type="paragraph" w:customStyle="1" w:styleId="150">
    <w:name w:val="目录 91"/>
    <w:basedOn w:val="149"/>
    <w:semiHidden/>
    <w:qFormat/>
    <w:uiPriority w:val="0"/>
    <w:pPr>
      <w:ind w:left="1680"/>
    </w:pPr>
  </w:style>
  <w:style w:type="paragraph" w:customStyle="1" w:styleId="15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qFormat/>
    <w:uiPriority w:val="0"/>
    <w:pPr>
      <w:spacing w:line="0" w:lineRule="atLeast"/>
    </w:pPr>
    <w:rPr>
      <w:rFonts w:ascii="黑体" w:eastAsia="黑体"/>
      <w:b w:val="0"/>
    </w:rPr>
  </w:style>
  <w:style w:type="paragraph" w:customStyle="1" w:styleId="153">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5">
    <w:name w:val="实施日期"/>
    <w:basedOn w:val="121"/>
    <w:qFormat/>
    <w:uiPriority w:val="0"/>
    <w:pPr>
      <w:framePr w:hSpace="0" w:xAlign="right"/>
      <w:jc w:val="right"/>
    </w:pPr>
  </w:style>
  <w:style w:type="paragraph" w:customStyle="1" w:styleId="156">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7"/>
    <w:qFormat/>
    <w:uiPriority w:val="0"/>
    <w:pPr>
      <w:jc w:val="both"/>
    </w:pPr>
    <w:rPr>
      <w:rFonts w:ascii="宋体" w:hAnsi="宋体" w:eastAsia="宋体" w:cs="Times New Roman"/>
      <w:sz w:val="21"/>
      <w:lang w:val="en-US" w:eastAsia="zh-CN" w:bidi="ar-SA"/>
    </w:rPr>
  </w:style>
  <w:style w:type="paragraph" w:customStyle="1" w:styleId="159">
    <w:name w:val="五级无标题条"/>
    <w:basedOn w:val="1"/>
    <w:qFormat/>
    <w:uiPriority w:val="0"/>
    <w:pPr>
      <w:numPr>
        <w:ilvl w:val="6"/>
        <w:numId w:val="20"/>
      </w:numPr>
      <w:adjustRightInd/>
    </w:pPr>
    <w:rPr>
      <w:szCs w:val="24"/>
    </w:rPr>
  </w:style>
  <w:style w:type="paragraph" w:customStyle="1" w:styleId="160">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1">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qFormat/>
    <w:uiPriority w:val="0"/>
    <w:pPr>
      <w:ind w:left="1406" w:leftChars="0" w:hanging="499" w:firstLineChars="0"/>
    </w:pPr>
  </w:style>
  <w:style w:type="paragraph" w:customStyle="1" w:styleId="163">
    <w:name w:val="标准文件_一级无标题"/>
    <w:basedOn w:val="106"/>
    <w:qFormat/>
    <w:uiPriority w:val="0"/>
    <w:pPr>
      <w:spacing w:before="0" w:beforeLines="0" w:after="0" w:afterLines="0"/>
      <w:outlineLvl w:val="9"/>
    </w:pPr>
    <w:rPr>
      <w:rFonts w:ascii="宋体" w:eastAsia="宋体"/>
    </w:rPr>
  </w:style>
  <w:style w:type="paragraph" w:customStyle="1" w:styleId="164">
    <w:name w:val="标准文件_五级无标题"/>
    <w:basedOn w:val="104"/>
    <w:qFormat/>
    <w:uiPriority w:val="0"/>
    <w:pPr>
      <w:spacing w:before="0" w:beforeLines="0" w:after="0" w:afterLines="0"/>
      <w:outlineLvl w:val="9"/>
    </w:pPr>
    <w:rPr>
      <w:rFonts w:ascii="宋体" w:eastAsia="宋体"/>
    </w:rPr>
  </w:style>
  <w:style w:type="paragraph" w:customStyle="1" w:styleId="165">
    <w:name w:val="标准文件_三级无标题"/>
    <w:basedOn w:val="95"/>
    <w:qFormat/>
    <w:uiPriority w:val="0"/>
    <w:pPr>
      <w:spacing w:before="0" w:beforeLines="0" w:after="0" w:afterLines="0"/>
      <w:outlineLvl w:val="9"/>
    </w:pPr>
    <w:rPr>
      <w:rFonts w:ascii="宋体" w:eastAsia="宋体"/>
    </w:rPr>
  </w:style>
  <w:style w:type="paragraph" w:customStyle="1" w:styleId="166">
    <w:name w:val="标准文件_二级无标题"/>
    <w:basedOn w:val="66"/>
    <w:qFormat/>
    <w:uiPriority w:val="0"/>
    <w:pPr>
      <w:spacing w:before="0" w:beforeLines="0" w:after="0" w:afterLines="0"/>
      <w:outlineLvl w:val="9"/>
    </w:pPr>
    <w:rPr>
      <w:rFonts w:ascii="宋体" w:eastAsia="宋体"/>
    </w:rPr>
  </w:style>
  <w:style w:type="paragraph" w:customStyle="1" w:styleId="167">
    <w:name w:val="标准_四级无标题"/>
    <w:basedOn w:val="99"/>
    <w:next w:val="57"/>
    <w:qFormat/>
    <w:uiPriority w:val="0"/>
    <w:rPr>
      <w:rFonts w:eastAsia="宋体"/>
    </w:rPr>
  </w:style>
  <w:style w:type="paragraph" w:customStyle="1" w:styleId="168">
    <w:name w:val="标准文件_四级无标题"/>
    <w:basedOn w:val="99"/>
    <w:qFormat/>
    <w:uiPriority w:val="0"/>
    <w:pPr>
      <w:spacing w:before="0" w:beforeLines="0" w:after="0" w:afterLines="0"/>
      <w:outlineLvl w:val="9"/>
    </w:pPr>
    <w:rPr>
      <w:rFonts w:ascii="宋体" w:hAnsi="黑体" w:eastAsia="宋体"/>
      <w:szCs w:val="52"/>
    </w:rPr>
  </w:style>
  <w:style w:type="paragraph" w:customStyle="1" w:styleId="169">
    <w:name w:val="标准文件_大写罗马数字编号列项"/>
    <w:basedOn w:val="57"/>
    <w:qFormat/>
    <w:uiPriority w:val="0"/>
    <w:pPr>
      <w:numPr>
        <w:ilvl w:val="0"/>
        <w:numId w:val="23"/>
      </w:numPr>
      <w:ind w:firstLine="0" w:firstLineChars="0"/>
    </w:pPr>
    <w:rPr>
      <w:rFonts w:ascii="Times New Roman" w:cs="Arial"/>
      <w:szCs w:val="28"/>
    </w:rPr>
  </w:style>
  <w:style w:type="paragraph" w:customStyle="1" w:styleId="170">
    <w:name w:val="标准文件_小写罗马数字编号列项"/>
    <w:basedOn w:val="57"/>
    <w:qFormat/>
    <w:uiPriority w:val="0"/>
    <w:pPr>
      <w:numPr>
        <w:ilvl w:val="0"/>
        <w:numId w:val="24"/>
      </w:numPr>
      <w:ind w:firstLine="0" w:firstLineChars="0"/>
    </w:pPr>
    <w:rPr>
      <w:rFonts w:cs="Arial"/>
      <w:szCs w:val="28"/>
    </w:rPr>
  </w:style>
  <w:style w:type="paragraph" w:customStyle="1" w:styleId="171">
    <w:name w:val="标准文件_附录标题"/>
    <w:basedOn w:val="77"/>
    <w:qFormat/>
    <w:uiPriority w:val="0"/>
    <w:pPr>
      <w:numPr>
        <w:numId w:val="0"/>
      </w:numPr>
      <w:spacing w:after="280"/>
      <w:outlineLvl w:val="9"/>
    </w:pPr>
  </w:style>
  <w:style w:type="paragraph" w:customStyle="1" w:styleId="172">
    <w:name w:val="标准文件_二级项"/>
    <w:qFormat/>
    <w:uiPriority w:val="0"/>
    <w:rPr>
      <w:rFonts w:ascii="宋体" w:hAnsi="Times New Roman" w:eastAsia="宋体" w:cs="Times New Roman"/>
      <w:sz w:val="21"/>
      <w:lang w:val="en-US" w:eastAsia="zh-CN" w:bidi="ar-SA"/>
    </w:rPr>
  </w:style>
  <w:style w:type="paragraph" w:customStyle="1" w:styleId="173">
    <w:name w:val="标准文件_三级项"/>
    <w:basedOn w:val="1"/>
    <w:qFormat/>
    <w:uiPriority w:val="0"/>
    <w:pPr>
      <w:numPr>
        <w:ilvl w:val="2"/>
        <w:numId w:val="21"/>
      </w:numPr>
      <w:spacing w:line="536870612" w:lineRule="auto"/>
    </w:pPr>
    <w:rPr>
      <w:rFonts w:ascii="Times New Roman" w:hAnsi="Times New Roman"/>
    </w:rPr>
  </w:style>
  <w:style w:type="paragraph" w:customStyle="1" w:styleId="174">
    <w:name w:val="图表脚注说明"/>
    <w:basedOn w:val="1"/>
    <w:next w:val="57"/>
    <w:qFormat/>
    <w:uiPriority w:val="0"/>
    <w:pPr>
      <w:numPr>
        <w:ilvl w:val="0"/>
        <w:numId w:val="25"/>
      </w:numPr>
      <w:adjustRightInd/>
      <w:spacing w:line="240" w:lineRule="auto"/>
    </w:pPr>
    <w:rPr>
      <w:rFonts w:ascii="宋体" w:hAnsi="Times New Roman"/>
      <w:sz w:val="18"/>
      <w:szCs w:val="18"/>
    </w:rPr>
  </w:style>
  <w:style w:type="paragraph" w:customStyle="1" w:styleId="175">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6">
    <w:name w:val="标准文件_索引字母"/>
    <w:next w:val="57"/>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7"/>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7"/>
    <w:qFormat/>
    <w:uiPriority w:val="0"/>
    <w:pPr>
      <w:ind w:firstLine="0" w:firstLineChars="0"/>
      <w:jc w:val="center"/>
    </w:pPr>
    <w:rPr>
      <w:sz w:val="18"/>
    </w:rPr>
  </w:style>
  <w:style w:type="paragraph" w:customStyle="1" w:styleId="180">
    <w:name w:val="标准文件_注："/>
    <w:next w:val="57"/>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7"/>
    <w:qFormat/>
    <w:uiPriority w:val="0"/>
    <w:pPr>
      <w:ind w:firstLine="420"/>
    </w:pPr>
    <w:rPr>
      <w:sz w:val="18"/>
    </w:rPr>
  </w:style>
  <w:style w:type="paragraph" w:customStyle="1" w:styleId="184">
    <w:name w:val="标准文件_示例×："/>
    <w:basedOn w:val="1"/>
    <w:next w:val="183"/>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5">
    <w:name w:val="标准文件_段 Char"/>
    <w:link w:val="57"/>
    <w:qFormat/>
    <w:uiPriority w:val="0"/>
    <w:rPr>
      <w:rFonts w:ascii="宋体" w:hAnsi="Times New Roman"/>
      <w:sz w:val="21"/>
    </w:rPr>
  </w:style>
  <w:style w:type="paragraph" w:customStyle="1" w:styleId="186">
    <w:name w:val="标准文件_表格续"/>
    <w:basedOn w:val="57"/>
    <w:next w:val="57"/>
    <w:qFormat/>
    <w:uiPriority w:val="0"/>
    <w:pPr>
      <w:jc w:val="center"/>
    </w:pPr>
    <w:rPr>
      <w:rFonts w:ascii="黑体" w:hAnsi="黑体" w:eastAsia="黑体"/>
    </w:rPr>
  </w:style>
  <w:style w:type="character" w:styleId="187">
    <w:name w:val="Placeholder Text"/>
    <w:basedOn w:val="29"/>
    <w:semiHidden/>
    <w:qFormat/>
    <w:uiPriority w:val="99"/>
    <w:rPr>
      <w:color w:val="808080"/>
    </w:rPr>
  </w:style>
  <w:style w:type="paragraph" w:customStyle="1" w:styleId="188">
    <w:name w:val="标准文件_二级项2"/>
    <w:basedOn w:val="57"/>
    <w:qFormat/>
    <w:uiPriority w:val="0"/>
    <w:pPr>
      <w:numPr>
        <w:ilvl w:val="1"/>
        <w:numId w:val="21"/>
      </w:numPr>
      <w:ind w:firstLine="0" w:firstLineChars="0"/>
    </w:pPr>
  </w:style>
  <w:style w:type="paragraph" w:customStyle="1" w:styleId="189">
    <w:name w:val="标准文件_三级项2"/>
    <w:basedOn w:val="57"/>
    <w:qFormat/>
    <w:uiPriority w:val="0"/>
    <w:pPr>
      <w:numPr>
        <w:ilvl w:val="0"/>
        <w:numId w:val="30"/>
      </w:numPr>
      <w:spacing w:line="300" w:lineRule="exact"/>
      <w:ind w:firstLineChars="0"/>
    </w:pPr>
    <w:rPr>
      <w:rFonts w:ascii="Times New Roman"/>
    </w:rPr>
  </w:style>
  <w:style w:type="paragraph" w:customStyle="1" w:styleId="190">
    <w:name w:val="标准文件_一级项2"/>
    <w:basedOn w:val="57"/>
    <w:qFormat/>
    <w:uiPriority w:val="0"/>
    <w:pPr>
      <w:numPr>
        <w:ilvl w:val="0"/>
        <w:numId w:val="31"/>
      </w:numPr>
      <w:spacing w:line="300" w:lineRule="exact"/>
      <w:ind w:firstLineChars="0"/>
    </w:pPr>
    <w:rPr>
      <w:rFonts w:ascii="Times New Roman"/>
    </w:rPr>
  </w:style>
  <w:style w:type="paragraph" w:customStyle="1" w:styleId="191">
    <w:name w:val="标准文件_提示"/>
    <w:basedOn w:val="57"/>
    <w:next w:val="57"/>
    <w:qFormat/>
    <w:uiPriority w:val="0"/>
    <w:pPr>
      <w:ind w:firstLine="420"/>
    </w:pPr>
    <w:rPr>
      <w:rFonts w:ascii="黑体" w:eastAsia="黑体"/>
    </w:rPr>
  </w:style>
  <w:style w:type="character" w:customStyle="1" w:styleId="192">
    <w:name w:val="标准文件_来源"/>
    <w:basedOn w:val="29"/>
    <w:qFormat/>
    <w:uiPriority w:val="1"/>
    <w:rPr>
      <w:rFonts w:eastAsia="宋体"/>
      <w:sz w:val="21"/>
    </w:rPr>
  </w:style>
  <w:style w:type="paragraph" w:customStyle="1" w:styleId="193">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1"/>
    <w:qFormat/>
    <w:uiPriority w:val="0"/>
    <w:pPr>
      <w:framePr w:w="3997" w:h="471" w:hRule="exact" w:hSpace="0" w:vSpace="181" w:vAnchor="page" w:hAnchor="page" w:x="1419" w:y="14097"/>
    </w:pPr>
  </w:style>
  <w:style w:type="paragraph" w:customStyle="1" w:styleId="195">
    <w:name w:val="其他实施日期"/>
    <w:basedOn w:val="155"/>
    <w:qFormat/>
    <w:uiPriority w:val="0"/>
    <w:pPr>
      <w:framePr w:w="3997" w:h="471" w:hRule="exact" w:vSpace="181" w:vAnchor="page" w:hAnchor="page" w:x="7089" w:y="14097"/>
    </w:pPr>
  </w:style>
  <w:style w:type="paragraph" w:customStyle="1" w:styleId="196">
    <w:name w:val="标准文件_文件编号"/>
    <w:basedOn w:val="57"/>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qFormat/>
    <w:uiPriority w:val="0"/>
    <w:pPr>
      <w:spacing w:before="57"/>
    </w:pPr>
    <w:rPr>
      <w:sz w:val="21"/>
    </w:rPr>
  </w:style>
  <w:style w:type="paragraph" w:customStyle="1" w:styleId="198">
    <w:name w:val="标准文件_文件名称"/>
    <w:basedOn w:val="57"/>
    <w:next w:val="57"/>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7"/>
    <w:next w:val="57"/>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0">
    <w:name w:val="标准文件_附录表标号"/>
    <w:basedOn w:val="57"/>
    <w:next w:val="57"/>
    <w:qFormat/>
    <w:uiPriority w:val="0"/>
    <w:pPr>
      <w:numPr>
        <w:ilvl w:val="0"/>
        <w:numId w:val="5"/>
      </w:numPr>
      <w:spacing w:line="14" w:lineRule="exact"/>
      <w:ind w:firstLine="0" w:firstLineChars="0"/>
      <w:jc w:val="center"/>
    </w:pPr>
    <w:rPr>
      <w:rFonts w:eastAsia="黑体"/>
      <w:vanish/>
      <w:sz w:val="2"/>
    </w:rPr>
  </w:style>
  <w:style w:type="paragraph" w:customStyle="1" w:styleId="201">
    <w:name w:val="标准文件_引言一级条标题"/>
    <w:basedOn w:val="57"/>
    <w:next w:val="57"/>
    <w:qFormat/>
    <w:uiPriority w:val="0"/>
    <w:pPr>
      <w:numPr>
        <w:ilvl w:val="1"/>
        <w:numId w:val="8"/>
      </w:numPr>
      <w:spacing w:before="50" w:beforeLines="50" w:after="50" w:afterLines="50"/>
      <w:ind w:firstLineChars="0"/>
    </w:pPr>
    <w:rPr>
      <w:rFonts w:ascii="黑体" w:eastAsia="黑体"/>
    </w:rPr>
  </w:style>
  <w:style w:type="paragraph" w:customStyle="1" w:styleId="202">
    <w:name w:val="标准文件_引言二级条标题"/>
    <w:basedOn w:val="57"/>
    <w:next w:val="57"/>
    <w:qFormat/>
    <w:uiPriority w:val="0"/>
    <w:pPr>
      <w:numPr>
        <w:ilvl w:val="2"/>
        <w:numId w:val="8"/>
      </w:numPr>
      <w:spacing w:before="50" w:beforeLines="50" w:after="50" w:afterLines="50"/>
      <w:ind w:firstLineChars="0"/>
    </w:pPr>
    <w:rPr>
      <w:rFonts w:ascii="黑体" w:eastAsia="黑体"/>
    </w:rPr>
  </w:style>
  <w:style w:type="paragraph" w:customStyle="1" w:styleId="203">
    <w:name w:val="标准文件_引言三级条标题"/>
    <w:basedOn w:val="57"/>
    <w:next w:val="57"/>
    <w:qFormat/>
    <w:uiPriority w:val="0"/>
    <w:pPr>
      <w:numPr>
        <w:ilvl w:val="3"/>
        <w:numId w:val="8"/>
      </w:numPr>
      <w:spacing w:before="50" w:beforeLines="50" w:after="50" w:afterLines="50"/>
      <w:ind w:firstLineChars="0"/>
    </w:pPr>
    <w:rPr>
      <w:rFonts w:ascii="黑体" w:eastAsia="黑体"/>
    </w:rPr>
  </w:style>
  <w:style w:type="paragraph" w:customStyle="1" w:styleId="204">
    <w:name w:val="标准文件_引言四级条标题"/>
    <w:basedOn w:val="57"/>
    <w:next w:val="57"/>
    <w:qFormat/>
    <w:uiPriority w:val="0"/>
    <w:pPr>
      <w:numPr>
        <w:ilvl w:val="4"/>
        <w:numId w:val="8"/>
      </w:numPr>
      <w:spacing w:before="50" w:beforeLines="50" w:after="50" w:afterLines="50"/>
      <w:ind w:firstLineChars="0"/>
    </w:pPr>
    <w:rPr>
      <w:rFonts w:ascii="黑体" w:eastAsia="黑体"/>
    </w:rPr>
  </w:style>
  <w:style w:type="paragraph" w:customStyle="1" w:styleId="205">
    <w:name w:val="标准文件_引言五级条标题"/>
    <w:basedOn w:val="57"/>
    <w:next w:val="57"/>
    <w:qFormat/>
    <w:uiPriority w:val="0"/>
    <w:pPr>
      <w:numPr>
        <w:ilvl w:val="5"/>
        <w:numId w:val="8"/>
      </w:numPr>
      <w:spacing w:before="50" w:beforeLines="50" w:after="50" w:afterLines="50"/>
      <w:ind w:firstLineChars="0"/>
    </w:pPr>
    <w:rPr>
      <w:rFonts w:ascii="黑体" w:eastAsia="黑体"/>
    </w:rPr>
  </w:style>
  <w:style w:type="paragraph" w:customStyle="1" w:styleId="206">
    <w:name w:val="标准文件_注后"/>
    <w:basedOn w:val="57"/>
    <w:qFormat/>
    <w:uiPriority w:val="0"/>
    <w:pPr>
      <w:ind w:left="811" w:firstLine="0" w:firstLineChars="0"/>
    </w:pPr>
    <w:rPr>
      <w:sz w:val="18"/>
    </w:rPr>
  </w:style>
  <w:style w:type="paragraph" w:customStyle="1" w:styleId="207">
    <w:name w:val="标准文件_注X后"/>
    <w:basedOn w:val="57"/>
    <w:qFormat/>
    <w:uiPriority w:val="0"/>
    <w:pPr>
      <w:ind w:left="811" w:firstLine="0" w:firstLineChars="0"/>
    </w:pPr>
    <w:rPr>
      <w:sz w:val="18"/>
    </w:rPr>
  </w:style>
  <w:style w:type="paragraph" w:customStyle="1" w:styleId="208">
    <w:name w:val="标准文件_示例后"/>
    <w:basedOn w:val="57"/>
    <w:qFormat/>
    <w:uiPriority w:val="0"/>
    <w:pPr>
      <w:ind w:left="964" w:firstLine="0" w:firstLineChars="0"/>
    </w:pPr>
    <w:rPr>
      <w:sz w:val="18"/>
    </w:rPr>
  </w:style>
  <w:style w:type="paragraph" w:customStyle="1" w:styleId="209">
    <w:name w:val="标准文件_示例X后"/>
    <w:basedOn w:val="57"/>
    <w:link w:val="210"/>
    <w:qFormat/>
    <w:uiPriority w:val="0"/>
    <w:pPr>
      <w:ind w:left="1049" w:firstLine="0" w:firstLineChars="0"/>
    </w:pPr>
    <w:rPr>
      <w:sz w:val="18"/>
    </w:rPr>
  </w:style>
  <w:style w:type="character" w:customStyle="1" w:styleId="210">
    <w:name w:val="标准文件_示例X后 字符"/>
    <w:basedOn w:val="185"/>
    <w:link w:val="209"/>
    <w:qFormat/>
    <w:uiPriority w:val="0"/>
    <w:rPr>
      <w:rFonts w:ascii="宋体" w:hAnsi="Times New Roman"/>
      <w:sz w:val="18"/>
    </w:rPr>
  </w:style>
  <w:style w:type="paragraph" w:customStyle="1" w:styleId="211">
    <w:name w:val="标准文件_索引项"/>
    <w:basedOn w:val="57"/>
    <w:next w:val="57"/>
    <w:qFormat/>
    <w:uiPriority w:val="0"/>
    <w:pPr>
      <w:tabs>
        <w:tab w:val="right" w:leader="dot" w:pos="9356"/>
      </w:tabs>
      <w:ind w:left="210" w:hanging="210" w:firstLineChars="0"/>
      <w:jc w:val="left"/>
    </w:pPr>
  </w:style>
  <w:style w:type="paragraph" w:customStyle="1" w:styleId="212">
    <w:name w:val="标准文件_附录一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二级无标题"/>
    <w:basedOn w:val="80"/>
    <w:qFormat/>
    <w:uiPriority w:val="0"/>
    <w:pPr>
      <w:spacing w:before="0" w:beforeLines="0" w:after="0" w:afterLines="0" w:line="276" w:lineRule="auto"/>
      <w:outlineLvl w:val="9"/>
    </w:pPr>
    <w:rPr>
      <w:rFonts w:ascii="宋体" w:eastAsia="宋体"/>
    </w:rPr>
  </w:style>
  <w:style w:type="paragraph" w:customStyle="1" w:styleId="214">
    <w:name w:val="标准文件_附录三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四级无标题"/>
    <w:basedOn w:val="83"/>
    <w:qFormat/>
    <w:uiPriority w:val="0"/>
    <w:pPr>
      <w:spacing w:before="0" w:beforeLines="0" w:after="0" w:afterLines="0" w:line="276" w:lineRule="auto"/>
      <w:outlineLvl w:val="9"/>
    </w:pPr>
    <w:rPr>
      <w:rFonts w:ascii="宋体" w:eastAsia="宋体"/>
    </w:rPr>
  </w:style>
  <w:style w:type="paragraph" w:customStyle="1" w:styleId="216">
    <w:name w:val="标准文件_附录五级无标题"/>
    <w:basedOn w:val="85"/>
    <w:qFormat/>
    <w:uiPriority w:val="0"/>
    <w:pPr>
      <w:spacing w:before="0" w:beforeLines="0" w:after="0" w:afterLines="0" w:line="276" w:lineRule="auto"/>
      <w:outlineLvl w:val="9"/>
    </w:pPr>
    <w:rPr>
      <w:rFonts w:ascii="宋体" w:eastAsia="宋体"/>
    </w:rPr>
  </w:style>
  <w:style w:type="paragraph" w:customStyle="1" w:styleId="217">
    <w:name w:val="标准文件_引言一级无标题"/>
    <w:basedOn w:val="201"/>
    <w:next w:val="57"/>
    <w:qFormat/>
    <w:uiPriority w:val="0"/>
    <w:pPr>
      <w:spacing w:before="0" w:beforeLines="0" w:after="0" w:afterLines="0" w:line="276" w:lineRule="auto"/>
    </w:pPr>
    <w:rPr>
      <w:rFonts w:ascii="宋体" w:eastAsia="宋体"/>
    </w:rPr>
  </w:style>
  <w:style w:type="paragraph" w:customStyle="1" w:styleId="218">
    <w:name w:val="标准文件_引言二级无标题"/>
    <w:basedOn w:val="202"/>
    <w:next w:val="57"/>
    <w:qFormat/>
    <w:uiPriority w:val="0"/>
    <w:pPr>
      <w:spacing w:before="0" w:beforeLines="0" w:after="0" w:afterLines="0" w:line="276" w:lineRule="auto"/>
    </w:pPr>
    <w:rPr>
      <w:rFonts w:ascii="宋体" w:eastAsia="宋体"/>
    </w:rPr>
  </w:style>
  <w:style w:type="paragraph" w:customStyle="1" w:styleId="219">
    <w:name w:val="标准文件_引言三级无标题"/>
    <w:basedOn w:val="203"/>
    <w:qFormat/>
    <w:uiPriority w:val="0"/>
    <w:pPr>
      <w:spacing w:before="0" w:beforeLines="0" w:after="0" w:afterLines="0" w:line="276" w:lineRule="auto"/>
    </w:pPr>
    <w:rPr>
      <w:rFonts w:ascii="宋体" w:eastAsia="宋体"/>
    </w:rPr>
  </w:style>
  <w:style w:type="paragraph" w:customStyle="1" w:styleId="220">
    <w:name w:val="标准文件_引言四级无标题"/>
    <w:basedOn w:val="204"/>
    <w:next w:val="57"/>
    <w:qFormat/>
    <w:uiPriority w:val="0"/>
    <w:pPr>
      <w:spacing w:before="0" w:beforeLines="0" w:after="0" w:afterLines="0" w:line="276" w:lineRule="auto"/>
    </w:pPr>
    <w:rPr>
      <w:rFonts w:ascii="宋体" w:eastAsia="宋体"/>
    </w:rPr>
  </w:style>
  <w:style w:type="paragraph" w:customStyle="1" w:styleId="221">
    <w:name w:val="标准文件_引言五级无标题"/>
    <w:basedOn w:val="205"/>
    <w:next w:val="57"/>
    <w:qFormat/>
    <w:uiPriority w:val="0"/>
    <w:pPr>
      <w:spacing w:before="0" w:beforeLines="0" w:after="0" w:afterLines="0" w:line="276" w:lineRule="auto"/>
    </w:pPr>
    <w:rPr>
      <w:rFonts w:ascii="宋体" w:eastAsia="宋体"/>
    </w:rPr>
  </w:style>
  <w:style w:type="paragraph" w:customStyle="1" w:styleId="222">
    <w:name w:val="标准文件_索引标题"/>
    <w:basedOn w:val="64"/>
    <w:next w:val="57"/>
    <w:qFormat/>
    <w:uiPriority w:val="0"/>
    <w:rPr>
      <w:rFonts w:hAnsi="黑体"/>
    </w:rPr>
  </w:style>
  <w:style w:type="paragraph" w:customStyle="1" w:styleId="223">
    <w:name w:val="标准文件_脚注内容"/>
    <w:basedOn w:val="57"/>
    <w:qFormat/>
    <w:uiPriority w:val="0"/>
    <w:pPr>
      <w:ind w:left="400" w:leftChars="200" w:hanging="200" w:hangingChars="200"/>
    </w:pPr>
    <w:rPr>
      <w:sz w:val="15"/>
    </w:rPr>
  </w:style>
  <w:style w:type="paragraph" w:customStyle="1" w:styleId="224">
    <w:name w:val="标准文件_术语条一"/>
    <w:basedOn w:val="163"/>
    <w:next w:val="57"/>
    <w:qFormat/>
    <w:uiPriority w:val="0"/>
  </w:style>
  <w:style w:type="paragraph" w:customStyle="1" w:styleId="225">
    <w:name w:val="标准文件_术语条二"/>
    <w:basedOn w:val="166"/>
    <w:next w:val="57"/>
    <w:qFormat/>
    <w:uiPriority w:val="0"/>
  </w:style>
  <w:style w:type="paragraph" w:customStyle="1" w:styleId="226">
    <w:name w:val="标准文件_术语条三"/>
    <w:basedOn w:val="165"/>
    <w:next w:val="57"/>
    <w:qFormat/>
    <w:uiPriority w:val="0"/>
  </w:style>
  <w:style w:type="paragraph" w:customStyle="1" w:styleId="227">
    <w:name w:val="标准文件_术语条四"/>
    <w:basedOn w:val="168"/>
    <w:next w:val="57"/>
    <w:qFormat/>
    <w:uiPriority w:val="0"/>
  </w:style>
  <w:style w:type="paragraph" w:customStyle="1" w:styleId="228">
    <w:name w:val="标准文件_术语条五"/>
    <w:basedOn w:val="164"/>
    <w:next w:val="57"/>
    <w:qFormat/>
    <w:uiPriority w:val="0"/>
  </w:style>
  <w:style w:type="paragraph" w:customStyle="1" w:styleId="2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0">
    <w:name w:val="发布"/>
    <w:basedOn w:val="29"/>
    <w:qFormat/>
    <w:uiPriority w:val="0"/>
    <w:rPr>
      <w:rFonts w:ascii="黑体" w:eastAsia="黑体"/>
      <w:spacing w:val="85"/>
      <w:w w:val="100"/>
      <w:position w:val="3"/>
      <w:sz w:val="28"/>
      <w:szCs w:val="28"/>
    </w:rPr>
  </w:style>
  <w:style w:type="paragraph" w:customStyle="1" w:styleId="231">
    <w:name w:val="段"/>
    <w:link w:val="232"/>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2">
    <w:name w:val="段 Char"/>
    <w:link w:val="231"/>
    <w:qFormat/>
    <w:uiPriority w:val="0"/>
    <w:rPr>
      <w:rFonts w:ascii="宋体" w:hAnsi="Times New Roman"/>
      <w:sz w:val="21"/>
    </w:rPr>
  </w:style>
  <w:style w:type="paragraph" w:customStyle="1" w:styleId="233">
    <w:name w:val="一级条标题"/>
    <w:next w:val="231"/>
    <w:link w:val="243"/>
    <w:qFormat/>
    <w:uiPriority w:val="0"/>
    <w:pPr>
      <w:numPr>
        <w:ilvl w:val="1"/>
        <w:numId w:val="3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34">
    <w:name w:val="章标题"/>
    <w:next w:val="231"/>
    <w:qFormat/>
    <w:uiPriority w:val="0"/>
    <w:pPr>
      <w:numPr>
        <w:ilvl w:val="0"/>
        <w:numId w:val="32"/>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35">
    <w:name w:val="二级条标题"/>
    <w:basedOn w:val="233"/>
    <w:next w:val="231"/>
    <w:link w:val="244"/>
    <w:qFormat/>
    <w:uiPriority w:val="0"/>
    <w:pPr>
      <w:numPr>
        <w:ilvl w:val="2"/>
      </w:numPr>
      <w:spacing w:before="50" w:after="50"/>
      <w:outlineLvl w:val="3"/>
    </w:pPr>
  </w:style>
  <w:style w:type="paragraph" w:customStyle="1" w:styleId="236">
    <w:name w:val="数字编号列项（二级）"/>
    <w:qFormat/>
    <w:uiPriority w:val="0"/>
    <w:pPr>
      <w:tabs>
        <w:tab w:val="left" w:pos="1260"/>
      </w:tabs>
      <w:ind w:left="1259" w:hanging="419"/>
      <w:jc w:val="both"/>
    </w:pPr>
    <w:rPr>
      <w:rFonts w:ascii="宋体" w:hAnsi="Times New Roman" w:eastAsia="宋体" w:cs="Times New Roman"/>
      <w:sz w:val="21"/>
      <w:lang w:val="en-US" w:eastAsia="zh-CN" w:bidi="ar-SA"/>
    </w:rPr>
  </w:style>
  <w:style w:type="paragraph" w:customStyle="1" w:styleId="237">
    <w:name w:val="四级条标题"/>
    <w:basedOn w:val="1"/>
    <w:next w:val="231"/>
    <w:qFormat/>
    <w:uiPriority w:val="0"/>
    <w:pPr>
      <w:widowControl/>
      <w:numPr>
        <w:ilvl w:val="4"/>
        <w:numId w:val="32"/>
      </w:numPr>
      <w:adjustRightInd/>
      <w:spacing w:before="50" w:beforeLines="50" w:after="50" w:afterLines="50" w:line="240" w:lineRule="auto"/>
      <w:jc w:val="left"/>
      <w:outlineLvl w:val="5"/>
    </w:pPr>
    <w:rPr>
      <w:rFonts w:ascii="黑体" w:hAnsi="Times New Roman" w:eastAsia="黑体"/>
      <w:kern w:val="0"/>
    </w:rPr>
  </w:style>
  <w:style w:type="paragraph" w:customStyle="1" w:styleId="238">
    <w:name w:val="五级条标题"/>
    <w:basedOn w:val="237"/>
    <w:next w:val="231"/>
    <w:qFormat/>
    <w:uiPriority w:val="0"/>
    <w:pPr>
      <w:numPr>
        <w:ilvl w:val="5"/>
      </w:numPr>
      <w:outlineLvl w:val="6"/>
    </w:pPr>
  </w:style>
  <w:style w:type="paragraph" w:customStyle="1" w:styleId="239">
    <w:name w:val="字母编号列项（一级）"/>
    <w:qFormat/>
    <w:uiPriority w:val="0"/>
    <w:pPr>
      <w:tabs>
        <w:tab w:val="left" w:pos="840"/>
      </w:tabs>
      <w:ind w:left="839" w:hanging="419"/>
      <w:jc w:val="both"/>
    </w:pPr>
    <w:rPr>
      <w:rFonts w:ascii="宋体" w:hAnsi="Times New Roman" w:eastAsia="宋体" w:cs="Times New Roman"/>
      <w:sz w:val="21"/>
      <w:lang w:val="en-US" w:eastAsia="zh-CN" w:bidi="ar-SA"/>
    </w:rPr>
  </w:style>
  <w:style w:type="paragraph" w:customStyle="1" w:styleId="240">
    <w:name w:val="二级无"/>
    <w:basedOn w:val="235"/>
    <w:qFormat/>
    <w:uiPriority w:val="0"/>
    <w:pPr>
      <w:spacing w:before="0" w:beforeLines="0" w:after="0" w:afterLines="0"/>
    </w:pPr>
    <w:rPr>
      <w:rFonts w:ascii="宋体" w:eastAsia="宋体"/>
    </w:rPr>
  </w:style>
  <w:style w:type="paragraph" w:customStyle="1" w:styleId="241">
    <w:name w:val="三级无"/>
    <w:basedOn w:val="1"/>
    <w:qFormat/>
    <w:uiPriority w:val="0"/>
    <w:pPr>
      <w:widowControl/>
      <w:adjustRightInd/>
      <w:spacing w:line="240" w:lineRule="auto"/>
      <w:jc w:val="left"/>
      <w:outlineLvl w:val="4"/>
    </w:pPr>
    <w:rPr>
      <w:rFonts w:ascii="宋体" w:hAnsi="Times New Roman"/>
      <w:kern w:val="0"/>
    </w:rPr>
  </w:style>
  <w:style w:type="paragraph" w:customStyle="1" w:styleId="242">
    <w:name w:val="一级无"/>
    <w:basedOn w:val="233"/>
    <w:qFormat/>
    <w:uiPriority w:val="0"/>
    <w:pPr>
      <w:spacing w:before="0" w:beforeLines="0" w:after="0" w:afterLines="0"/>
    </w:pPr>
    <w:rPr>
      <w:rFonts w:ascii="宋体" w:eastAsia="宋体"/>
    </w:rPr>
  </w:style>
  <w:style w:type="character" w:customStyle="1" w:styleId="243">
    <w:name w:val="一级条标题 Char"/>
    <w:link w:val="233"/>
    <w:qFormat/>
    <w:uiPriority w:val="0"/>
    <w:rPr>
      <w:rFonts w:ascii="黑体" w:hAnsi="Times New Roman" w:eastAsia="黑体"/>
      <w:sz w:val="21"/>
      <w:szCs w:val="21"/>
    </w:rPr>
  </w:style>
  <w:style w:type="character" w:customStyle="1" w:styleId="244">
    <w:name w:val="二级条标题 Char"/>
    <w:basedOn w:val="243"/>
    <w:link w:val="235"/>
    <w:qFormat/>
    <w:uiPriority w:val="0"/>
    <w:rPr>
      <w:rFonts w:ascii="黑体" w:hAnsi="Times New Roman" w:eastAsia="黑体"/>
      <w:sz w:val="21"/>
      <w:szCs w:val="21"/>
    </w:rPr>
  </w:style>
  <w:style w:type="character" w:customStyle="1" w:styleId="245">
    <w:name w:val="fontstyle01"/>
    <w:basedOn w:val="29"/>
    <w:qFormat/>
    <w:uiPriority w:val="0"/>
    <w:rPr>
      <w:rFonts w:ascii="宋体" w:hAnsi="宋体" w:eastAsia="宋体" w:cs="宋体"/>
      <w:color w:val="000000"/>
      <w:sz w:val="22"/>
      <w:szCs w:val="22"/>
    </w:rPr>
  </w:style>
  <w:style w:type="table" w:customStyle="1" w:styleId="24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1" Type="http://schemas.openxmlformats.org/officeDocument/2006/relationships/glossaryDocument" Target="glossary/document.xml"/><Relationship Id="rId30" Type="http://schemas.openxmlformats.org/officeDocument/2006/relationships/fontTable" Target="fontTable.xml"/><Relationship Id="rId3" Type="http://schemas.openxmlformats.org/officeDocument/2006/relationships/footnotes" Target="footnotes.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1.jpeg"/><Relationship Id="rId26" Type="http://schemas.openxmlformats.org/officeDocument/2006/relationships/image" Target="media/image1.tiff"/><Relationship Id="rId25" Type="http://schemas.openxmlformats.org/officeDocument/2006/relationships/theme" Target="theme/theme1.xml"/><Relationship Id="rId24" Type="http://schemas.openxmlformats.org/officeDocument/2006/relationships/footer" Target="footer10.xml"/><Relationship Id="rId23" Type="http://schemas.openxmlformats.org/officeDocument/2006/relationships/footer" Target="footer9.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scjuser/D:\home\scjuser\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0D04DFA532D4A61AD0052E82658E6C0"/>
        <w:style w:val=""/>
        <w:category>
          <w:name w:val="常规"/>
          <w:gallery w:val="placeholder"/>
        </w:category>
        <w:types>
          <w:type w:val="bbPlcHdr"/>
        </w:types>
        <w:behaviors>
          <w:behavior w:val="content"/>
        </w:behaviors>
        <w:description w:val=""/>
        <w:guid w:val="{ED796E2B-C987-4D86-8EFF-1D9BD6A8FF56}"/>
      </w:docPartPr>
      <w:docPartBody>
        <w:p>
          <w:pPr>
            <w:pStyle w:val="5"/>
          </w:pPr>
          <w:r>
            <w:rPr>
              <w:rStyle w:val="4"/>
              <w:rFonts w:hint="eastAsia"/>
            </w:rPr>
            <w:t>单击或点击此处输入文字。</w:t>
          </w:r>
        </w:p>
      </w:docPartBody>
    </w:docPart>
    <w:docPart>
      <w:docPartPr>
        <w:name w:val="83C9EC62F113458F8A7B2BE51D791BF1"/>
        <w:style w:val=""/>
        <w:category>
          <w:name w:val="常规"/>
          <w:gallery w:val="placeholder"/>
        </w:category>
        <w:types>
          <w:type w:val="bbPlcHdr"/>
        </w:types>
        <w:behaviors>
          <w:behavior w:val="content"/>
        </w:behaviors>
        <w:description w:val=""/>
        <w:guid w:val="{D2C472E8-5939-4339-9FEA-71EA87C8F73D}"/>
      </w:docPartPr>
      <w:docPartBody>
        <w:p>
          <w:pPr>
            <w:pStyle w:val="6"/>
          </w:pPr>
          <w:r>
            <w:rPr>
              <w:rStyle w:val="4"/>
              <w:rFonts w:hint="eastAsia"/>
            </w:rPr>
            <w:t>选择一项。</w:t>
          </w:r>
        </w:p>
      </w:docPartBody>
    </w:docPart>
    <w:docPart>
      <w:docPartPr>
        <w:name w:val="6843016703E54048A1EEC69E5325B335"/>
        <w:style w:val=""/>
        <w:category>
          <w:name w:val="常规"/>
          <w:gallery w:val="placeholder"/>
        </w:category>
        <w:types>
          <w:type w:val="bbPlcHdr"/>
        </w:types>
        <w:behaviors>
          <w:behavior w:val="content"/>
        </w:behaviors>
        <w:description w:val=""/>
        <w:guid w:val="{EE1688F4-272A-410C-A86A-8ABC18695963}"/>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圆B5"/>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8EB"/>
    <w:rsid w:val="00090FA5"/>
    <w:rsid w:val="0090596C"/>
    <w:rsid w:val="009C5F42"/>
    <w:rsid w:val="00CA6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50D04DFA532D4A61AD0052E82658E6C0"/>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customStyle="1" w:styleId="6">
    <w:name w:val="83C9EC62F113458F8A7B2BE51D791BF1"/>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customStyle="1" w:styleId="7">
    <w:name w:val="6843016703E54048A1EEC69E5325B335"/>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13</Pages>
  <Words>8010</Words>
  <Characters>8122</Characters>
  <Lines>20</Lines>
  <Paragraphs>5</Paragraphs>
  <TotalTime>9</TotalTime>
  <ScaleCrop>false</ScaleCrop>
  <LinksUpToDate>false</LinksUpToDate>
  <CharactersWithSpaces>8190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2023-05-30T19:21:00Z</dcterms:created>
  <dc:creator>ad</dc:creator>
  <dc:description>&lt;config cover="true" show_menu="true" version="1.0.0" doctype="SDKXY"&gt;_x000d_
&lt;/config&gt;</dc:description>
  <cp:lastModifiedBy>scjuser</cp:lastModifiedBy>
  <cp:lastPrinted>2020-08-31T02:00:00Z</cp:lastPrinted>
  <dcterms:modified xsi:type="dcterms:W3CDTF">2024-06-24T16:33:41Z</dcterms:modified>
  <dc:title>地方标准</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2052-11.8.2.10125</vt:lpwstr>
  </property>
  <property fmtid="{D5CDD505-2E9C-101B-9397-08002B2CF9AE}" pid="16" name="ICV">
    <vt:lpwstr>E3C422C281C4489F8647D6435582F437_13</vt:lpwstr>
  </property>
</Properties>
</file>