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一、诱惑红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诱惑红，别名艳红、阿落拉红，属于合成着色剂，在食品工业中有非常广泛的应用。诱惑红应按照标准使用，长期摄入，存在致畸、致癌的可能性。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《食品安全国家标准 食品添加剂使用标准》（GB 2760—2014）中规定，肉灌肠类中诱惑红的最大使用量为0.015g/kg。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防腐剂混合使用时各自用量占其最大使用量的比例之和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防腐剂是常见的食品添加剂，指天然或合成的化学成分，用于延缓或抑制由微生物引起的食品腐败变质。长期食用防腐剂超标的食品会对人体健康造成损害。《食品安全国家标准 食品添加剂使用标准》（GB 2760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2014）中规定，防腐剂在混合使用时各自用量占其最大使用量的比例之和不应超过1。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三、过氧化值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after="157" w:afterLines="50" w:line="240" w:lineRule="auto"/>
        <w:ind w:firstLine="640" w:firstLineChars="200"/>
        <w:textAlignment w:val="auto"/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 坚果与籽类食品》（GB 19300—2014）中规定，</w:t>
      </w:r>
      <w:r>
        <w:rPr>
          <w:rFonts w:hint="eastAsia" w:ascii="Times New Roman" w:cstheme="minorBidi"/>
          <w:color w:val="auto"/>
          <w:kern w:val="2"/>
          <w:sz w:val="32"/>
          <w:szCs w:val="32"/>
          <w:lang w:val="en-US" w:eastAsia="zh-CN" w:bidi="ar-SA"/>
        </w:rPr>
        <w:t>除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葵花籽</w:t>
      </w:r>
      <w:r>
        <w:rPr>
          <w:rFonts w:hint="eastAsia" w:ascii="Times New Roman" w:cstheme="minorBidi"/>
          <w:color w:val="auto"/>
          <w:kern w:val="2"/>
          <w:sz w:val="32"/>
          <w:szCs w:val="32"/>
          <w:lang w:val="en-US" w:eastAsia="zh-CN" w:bidi="ar-SA"/>
        </w:rPr>
        <w:t>外的其他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熟制</w:t>
      </w:r>
      <w:r>
        <w:rPr>
          <w:rFonts w:hint="eastAsia" w:ascii="Times New Roman" w:cstheme="minorBidi"/>
          <w:color w:val="auto"/>
          <w:kern w:val="2"/>
          <w:sz w:val="32"/>
          <w:szCs w:val="32"/>
          <w:lang w:val="en-US" w:eastAsia="zh-CN" w:bidi="ar-SA"/>
        </w:rPr>
        <w:t>坚果与籽类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中过氧化值（以脂肪计）的最大限量值为0.</w:t>
      </w:r>
      <w:r>
        <w:rPr>
          <w:rFonts w:hint="eastAsia" w:ascii="Times New Roman" w:cstheme="minorBidi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0g/100g。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噻虫胺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噻虫胺属新烟碱类杀虫剂，具有内吸性、触杀和胃毒作用，对蚜虫、斑潜蝇等有较好防效。少量的残留不会引起人体急性中毒，但长期食用噻虫胺超标的食品，对人体健康可能有一定影响。《食品安全国家标准 食品中农药最大残留限量》（GB 2763—2021）中规定，噻虫胺在辣椒中的最大残留限量值为0.05mg/kg。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916BE5-F6C3-43D8-A544-B93FB4CA3C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3C57089-CAC1-4ACA-A896-631CAC18017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9595D45-6AD6-4CE6-ABD9-8EA86C0527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A734C6D"/>
    <w:rsid w:val="2C0A05A9"/>
    <w:rsid w:val="2E3F61C1"/>
    <w:rsid w:val="2F4C3042"/>
    <w:rsid w:val="2F67752C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5CA3237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6FF25487"/>
    <w:rsid w:val="713A7800"/>
    <w:rsid w:val="71F54AC4"/>
    <w:rsid w:val="72BB79B9"/>
    <w:rsid w:val="730700A7"/>
    <w:rsid w:val="743F19ED"/>
    <w:rsid w:val="75CC2E8E"/>
    <w:rsid w:val="77E4664B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647</Characters>
  <Lines>0</Lines>
  <Paragraphs>0</Paragraphs>
  <TotalTime>29</TotalTime>
  <ScaleCrop>false</ScaleCrop>
  <LinksUpToDate>false</LinksUpToDate>
  <CharactersWithSpaces>656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2024-06-11T03:04:48Z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D0D11F2170C547969D6D51D54827D987</vt:lpwstr>
  </property>
</Properties>
</file>