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spacing w:line="594" w:lineRule="exact"/>
        <w:ind w:leftChars="0"/>
        <w:jc w:val="left"/>
        <w:textAlignment w:val="auto"/>
        <w:rPr>
          <w:rFonts w:hint="default" w:ascii="Times New Roman" w:hAnsi="Times New Roman" w:eastAsia="黑体" w:cs="Times New Roman"/>
          <w:spacing w:val="-12"/>
          <w:sz w:val="32"/>
          <w:szCs w:val="32"/>
        </w:rPr>
      </w:pPr>
      <w:r>
        <w:rPr>
          <w:rFonts w:hint="eastAsia" w:ascii="黑体" w:hAnsi="黑体" w:eastAsia="黑体" w:cs="黑体"/>
          <w:sz w:val="32"/>
          <w:szCs w:val="32"/>
        </w:rPr>
        <w:t>附件1</w:t>
      </w:r>
    </w:p>
    <w:p>
      <w:pPr>
        <w:keepNext w:val="0"/>
        <w:keepLines w:val="0"/>
        <w:pageBreakBefore w:val="0"/>
        <w:widowControl w:val="0"/>
        <w:kinsoku/>
        <w:wordWrap/>
        <w:overflowPunct/>
        <w:topLinePunct w:val="0"/>
        <w:autoSpaceDE/>
        <w:autoSpaceDN/>
        <w:bidi w:val="0"/>
        <w:adjustRightInd/>
        <w:snapToGrid/>
        <w:spacing w:line="594" w:lineRule="exact"/>
        <w:ind w:leftChars="0"/>
        <w:jc w:val="center"/>
        <w:textAlignment w:val="auto"/>
        <w:rPr>
          <w:rFonts w:hint="eastAsia" w:ascii="方正小标宋简体" w:hAnsi="方正小标宋简体" w:eastAsia="方正小标宋简体" w:cs="方正小标宋简体"/>
          <w:spacing w:val="-12"/>
          <w:sz w:val="44"/>
          <w:szCs w:val="44"/>
        </w:rPr>
      </w:pPr>
      <w:r>
        <w:rPr>
          <w:rFonts w:hint="eastAsia" w:ascii="方正小标宋简体" w:hAnsi="方正小标宋简体" w:eastAsia="方正小标宋简体" w:cs="方正小标宋简体"/>
          <w:spacing w:val="-12"/>
          <w:sz w:val="44"/>
          <w:szCs w:val="44"/>
        </w:rPr>
        <w:t>部分不合格检验项目小知识</w:t>
      </w:r>
    </w:p>
    <w:p>
      <w:pPr>
        <w:keepNext w:val="0"/>
        <w:keepLines w:val="0"/>
        <w:pageBreakBefore w:val="0"/>
        <w:widowControl/>
        <w:numPr>
          <w:ilvl w:val="-1"/>
          <w:numId w:val="0"/>
        </w:numPr>
        <w:kinsoku/>
        <w:wordWrap/>
        <w:overflowPunct/>
        <w:topLinePunct w:val="0"/>
        <w:autoSpaceDE/>
        <w:autoSpaceDN/>
        <w:bidi w:val="0"/>
        <w:adjustRightInd/>
        <w:snapToGrid/>
        <w:spacing w:line="594" w:lineRule="exact"/>
        <w:textAlignment w:val="auto"/>
        <w:rPr>
          <w:rFonts w:hint="default" w:ascii="Times New Roman" w:hAnsi="Times New Roman" w:eastAsia="仿宋_GB2312" w:cs="Times New Roman"/>
          <w:sz w:val="32"/>
          <w:szCs w:val="32"/>
          <w:lang w:eastAsia="zh-CN"/>
        </w:rPr>
      </w:pPr>
    </w:p>
    <w:p>
      <w:pPr>
        <w:spacing w:line="594" w:lineRule="exact"/>
        <w:ind w:firstLine="592" w:firstLineChars="200"/>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pacing w:val="-12"/>
          <w:sz w:val="32"/>
          <w:szCs w:val="32"/>
          <w:lang w:val="en-US" w:eastAsia="zh-CN"/>
        </w:rPr>
        <w:t>一、</w:t>
      </w:r>
      <w:r>
        <w:rPr>
          <w:rFonts w:hint="default" w:ascii="Times New Roman" w:hAnsi="Times New Roman" w:eastAsia="黑体" w:cs="Times New Roman"/>
          <w:spacing w:val="-12"/>
          <w:sz w:val="32"/>
          <w:szCs w:val="32"/>
        </w:rPr>
        <w:t>、</w:t>
      </w:r>
      <w:r>
        <w:rPr>
          <w:rFonts w:hint="eastAsia" w:eastAsia="黑体"/>
          <w:spacing w:val="-12"/>
          <w:sz w:val="32"/>
          <w:szCs w:val="32"/>
          <w:lang w:val="en-US" w:eastAsia="zh-CN"/>
        </w:rPr>
        <w:t>菌落总数</w:t>
      </w:r>
    </w:p>
    <w:p>
      <w:pPr>
        <w:spacing w:line="594" w:lineRule="exact"/>
        <w:ind w:firstLine="640" w:firstLineChars="200"/>
        <w:rPr>
          <w:rFonts w:hint="eastAsia" w:ascii="Times New Roman" w:hAnsi="Times New Roman" w:eastAsia="仿宋_GB2312" w:cs="Times New Roman"/>
          <w:spacing w:val="0"/>
          <w:sz w:val="32"/>
          <w:szCs w:val="32"/>
          <w:lang w:eastAsia="zh-CN"/>
        </w:rPr>
      </w:pPr>
      <w:r>
        <w:rPr>
          <w:rFonts w:hint="default" w:ascii="Times New Roman" w:hAnsi="Times New Roman" w:eastAsia="仿宋_GB2312" w:cs="Times New Roman"/>
          <w:sz w:val="32"/>
          <w:szCs w:val="32"/>
        </w:rPr>
        <w:t>菌落总数是指示性微生物指标，不是致病菌指标，反映食品在</w:t>
      </w:r>
      <w:r>
        <w:rPr>
          <w:rFonts w:hint="default" w:ascii="Times New Roman" w:hAnsi="Times New Roman" w:eastAsia="仿宋_GB2312" w:cs="Times New Roman"/>
          <w:sz w:val="32"/>
          <w:szCs w:val="32"/>
          <w:highlight w:val="none"/>
        </w:rPr>
        <w:t>生产</w:t>
      </w:r>
      <w:r>
        <w:rPr>
          <w:rFonts w:hint="default" w:ascii="Times New Roman" w:hAnsi="Times New Roman" w:eastAsia="仿宋_GB2312" w:cs="Times New Roman"/>
          <w:sz w:val="32"/>
          <w:szCs w:val="32"/>
        </w:rPr>
        <w:t>过程中的卫生状况。如果食品的菌落总数严重超标，将会破坏食品的营养成分，使食品失去食用价值；还会加速食品腐败变质，可能危害人体健康。《食品安全国家标准 蜜饯》（GB 14884</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sz w:val="32"/>
          <w:szCs w:val="32"/>
        </w:rPr>
        <w:t>2016）中规定，</w:t>
      </w:r>
      <w:r>
        <w:rPr>
          <w:rFonts w:hint="default" w:ascii="Times New Roman" w:hAnsi="Times New Roman" w:eastAsia="仿宋_GB2312" w:cs="Times New Roman"/>
          <w:sz w:val="32"/>
          <w:szCs w:val="32"/>
          <w:lang w:eastAsia="zh-CN"/>
        </w:rPr>
        <w:t>蜜饯中同一批次产品</w:t>
      </w: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lang w:eastAsia="zh-CN"/>
        </w:rPr>
        <w:t>个样品的菌落总数检</w:t>
      </w:r>
      <w:r>
        <w:rPr>
          <w:rFonts w:hint="eastAsia" w:ascii="Times New Roman" w:hAnsi="Times New Roman" w:eastAsia="仿宋_GB2312" w:cs="Times New Roman"/>
          <w:sz w:val="32"/>
          <w:szCs w:val="32"/>
          <w:lang w:val="en-US" w:eastAsia="zh-CN"/>
        </w:rPr>
        <w:t>验</w:t>
      </w:r>
      <w:r>
        <w:rPr>
          <w:rFonts w:hint="default" w:ascii="Times New Roman" w:hAnsi="Times New Roman" w:eastAsia="仿宋_GB2312" w:cs="Times New Roman"/>
          <w:sz w:val="32"/>
          <w:szCs w:val="32"/>
        </w:rPr>
        <w:t>结果均不得超过10</w:t>
      </w:r>
      <w:r>
        <w:rPr>
          <w:rFonts w:hint="default" w:ascii="Times New Roman" w:hAnsi="Times New Roman" w:eastAsia="仿宋_GB2312" w:cs="Times New Roman"/>
          <w:sz w:val="32"/>
          <w:szCs w:val="32"/>
          <w:vertAlign w:val="superscript"/>
          <w:lang w:val="en-US" w:eastAsia="zh-CN"/>
        </w:rPr>
        <w:t>4</w:t>
      </w:r>
      <w:r>
        <w:rPr>
          <w:rFonts w:hint="default" w:ascii="Times New Roman" w:hAnsi="Times New Roman" w:eastAsia="仿宋_GB2312" w:cs="Times New Roman"/>
          <w:sz w:val="32"/>
          <w:szCs w:val="32"/>
        </w:rPr>
        <w:t>CFU/g</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且最多允许2个样品的检</w:t>
      </w:r>
      <w:r>
        <w:rPr>
          <w:rFonts w:hint="eastAsia" w:ascii="Times New Roman" w:hAnsi="Times New Roman" w:eastAsia="仿宋_GB2312" w:cs="Times New Roman"/>
          <w:sz w:val="32"/>
          <w:szCs w:val="32"/>
          <w:lang w:val="en-US" w:eastAsia="zh-CN"/>
        </w:rPr>
        <w:t>验</w:t>
      </w:r>
      <w:r>
        <w:rPr>
          <w:rFonts w:hint="default" w:ascii="Times New Roman" w:hAnsi="Times New Roman" w:eastAsia="仿宋_GB2312" w:cs="Times New Roman"/>
          <w:sz w:val="32"/>
          <w:szCs w:val="32"/>
        </w:rPr>
        <w:t>结果超过10</w:t>
      </w:r>
      <w:r>
        <w:rPr>
          <w:rFonts w:hint="default" w:ascii="Times New Roman" w:hAnsi="Times New Roman" w:eastAsia="仿宋_GB2312" w:cs="Times New Roman"/>
          <w:sz w:val="32"/>
          <w:szCs w:val="32"/>
          <w:vertAlign w:val="superscript"/>
          <w:lang w:val="en-US" w:eastAsia="zh-CN"/>
        </w:rPr>
        <w:t>3</w:t>
      </w:r>
      <w:r>
        <w:rPr>
          <w:rFonts w:hint="default" w:ascii="Times New Roman" w:hAnsi="Times New Roman" w:eastAsia="仿宋_GB2312" w:cs="Times New Roman"/>
          <w:sz w:val="32"/>
          <w:szCs w:val="32"/>
        </w:rPr>
        <w:t>CFU/g。</w:t>
      </w:r>
      <w:r>
        <w:rPr>
          <w:rFonts w:hint="default" w:ascii="Times New Roman" w:hAnsi="Times New Roman" w:eastAsia="仿宋_GB2312" w:cs="Times New Roman"/>
          <w:sz w:val="32"/>
          <w:szCs w:val="32"/>
          <w:lang w:eastAsia="zh-CN"/>
        </w:rPr>
        <w:t>蜜饯</w:t>
      </w:r>
      <w:r>
        <w:rPr>
          <w:rFonts w:hint="default" w:ascii="Times New Roman" w:hAnsi="Times New Roman" w:eastAsia="仿宋_GB2312" w:cs="Times New Roman"/>
          <w:sz w:val="32"/>
          <w:szCs w:val="32"/>
        </w:rPr>
        <w:t>中</w:t>
      </w:r>
      <w:r>
        <w:rPr>
          <w:rFonts w:hint="default" w:ascii="Times New Roman" w:hAnsi="Times New Roman" w:eastAsia="仿宋_GB2312" w:cs="Times New Roman"/>
          <w:sz w:val="32"/>
          <w:szCs w:val="32"/>
          <w:lang w:eastAsia="zh-CN"/>
        </w:rPr>
        <w:t>菌落总数</w:t>
      </w:r>
      <w:r>
        <w:rPr>
          <w:rFonts w:hint="default" w:ascii="Times New Roman" w:hAnsi="Times New Roman" w:eastAsia="仿宋_GB2312" w:cs="Times New Roman"/>
          <w:sz w:val="32"/>
          <w:szCs w:val="32"/>
        </w:rPr>
        <w:t>超标的原因</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可能是</w:t>
      </w:r>
      <w:r>
        <w:rPr>
          <w:rFonts w:hint="default" w:ascii="Times New Roman" w:hAnsi="Times New Roman" w:eastAsia="仿宋_GB2312" w:cs="Times New Roman"/>
          <w:sz w:val="32"/>
          <w:szCs w:val="32"/>
          <w:lang w:eastAsia="zh-CN"/>
        </w:rPr>
        <w:t>企业未按要求严格控制生产加工过程的卫生条件</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也可能与产品包装密封不严或储运条件不当等有关</w:t>
      </w:r>
      <w:r>
        <w:rPr>
          <w:rFonts w:hint="default" w:ascii="Times New Roman" w:hAnsi="Times New Roman" w:eastAsia="仿宋_GB2312" w:cs="Times New Roman"/>
          <w:sz w:val="32"/>
          <w:szCs w:val="32"/>
        </w:rPr>
        <w:t>。</w:t>
      </w:r>
    </w:p>
    <w:p>
      <w:pPr>
        <w:keepNext w:val="0"/>
        <w:keepLines w:val="0"/>
        <w:pageBreakBefore w:val="0"/>
        <w:widowControl/>
        <w:numPr>
          <w:ilvl w:val="0"/>
          <w:numId w:val="0"/>
        </w:numPr>
        <w:kinsoku/>
        <w:wordWrap/>
        <w:overflowPunct/>
        <w:topLinePunct w:val="0"/>
        <w:autoSpaceDE/>
        <w:autoSpaceDN/>
        <w:bidi w:val="0"/>
        <w:adjustRightInd/>
        <w:snapToGrid/>
        <w:spacing w:line="594" w:lineRule="exact"/>
        <w:ind w:firstLine="592" w:firstLineChars="200"/>
        <w:textAlignment w:val="auto"/>
        <w:rPr>
          <w:rFonts w:ascii="黑体" w:hAnsi="黑体" w:eastAsia="黑体" w:cs="黑体"/>
          <w:b/>
          <w:bCs/>
          <w:sz w:val="32"/>
          <w:szCs w:val="32"/>
        </w:rPr>
      </w:pPr>
      <w:r>
        <w:rPr>
          <w:rFonts w:hint="eastAsia" w:ascii="Times New Roman" w:hAnsi="Times New Roman" w:eastAsia="黑体" w:cs="Times New Roman"/>
          <w:spacing w:val="-12"/>
          <w:kern w:val="2"/>
          <w:sz w:val="32"/>
          <w:szCs w:val="32"/>
          <w:lang w:val="en-US" w:eastAsia="zh-CN" w:bidi="ar-SA"/>
        </w:rPr>
        <w:t>二、克罗诺杆菌属（阪崎肠杆菌）</w:t>
      </w:r>
    </w:p>
    <w:p>
      <w:pPr>
        <w:keepNext w:val="0"/>
        <w:keepLines w:val="0"/>
        <w:pageBreakBefore w:val="0"/>
        <w:widowControl w:val="0"/>
        <w:kinsoku/>
        <w:wordWrap/>
        <w:overflowPunct/>
        <w:topLinePunct w:val="0"/>
        <w:autoSpaceDE/>
        <w:autoSpaceDN/>
        <w:bidi w:val="0"/>
        <w:adjustRightInd/>
        <w:snapToGrid/>
        <w:spacing w:line="594" w:lineRule="exact"/>
        <w:ind w:right="0" w:firstLine="640" w:firstLineChars="200"/>
        <w:jc w:val="both"/>
        <w:textAlignment w:val="auto"/>
        <w:rPr>
          <w:rFonts w:hint="default" w:ascii="Times New Roman" w:hAnsi="Times New Roman" w:eastAsia="黑体" w:cs="Times New Roman"/>
          <w:spacing w:val="0"/>
          <w:sz w:val="32"/>
          <w:szCs w:val="32"/>
          <w:lang w:val="en-US" w:eastAsia="zh-CN"/>
        </w:rPr>
      </w:pPr>
      <w:r>
        <w:rPr>
          <w:rFonts w:hint="default" w:ascii="Times New Roman" w:hAnsi="Times New Roman" w:eastAsia="仿宋_GB2312" w:cs="Times New Roman"/>
          <w:sz w:val="32"/>
          <w:szCs w:val="32"/>
          <w:lang w:val="en-US" w:eastAsia="zh-CN"/>
        </w:rPr>
        <w:t>克罗诺杆菌属（阪崎肠杆菌），为革兰氏阴性，是一种食源性的条件致病菌，婴儿是高危人群，临床症状初期为腹泻、腹痛，少数伴有恶心、呕吐等。婴儿配方食品是婴儿感染克罗诺杆菌属（阪崎肠杆菌）的主要渠道。《食品安全国家标准 预包装食品中致病菌限量》（GB 29921</w:t>
      </w: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2021）中规定，婴儿（0</w:t>
      </w: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6月龄）配方食品中同一批次产品3个独立包装样品均不允许检出克罗诺杆菌属（阪崎肠杆菌）</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婴儿配方食品中克罗诺杆菌属（阪崎肠杆菌）不达标的原因，可能是产品原料中微生物控制欠佳</w:t>
      </w:r>
      <w:r>
        <w:rPr>
          <w:rFonts w:hint="eastAsia" w:ascii="Times New Roman" w:hAnsi="Times New Roman" w:eastAsia="仿宋_GB2312" w:cs="Times New Roman"/>
          <w:sz w:val="32"/>
          <w:szCs w:val="32"/>
          <w:lang w:val="en-US" w:eastAsia="zh-CN"/>
        </w:rPr>
        <w:t>；也可能是</w:t>
      </w:r>
      <w:r>
        <w:rPr>
          <w:rFonts w:hint="default" w:ascii="Times New Roman" w:hAnsi="Times New Roman" w:eastAsia="仿宋_GB2312" w:cs="Times New Roman"/>
          <w:sz w:val="32"/>
          <w:szCs w:val="32"/>
          <w:lang w:val="en-US" w:eastAsia="zh-CN"/>
        </w:rPr>
        <w:t>加工过程中关键控制点控制不足</w:t>
      </w:r>
      <w:bookmarkStart w:id="0" w:name="_GoBack"/>
      <w:bookmarkEnd w:id="0"/>
      <w:r>
        <w:rPr>
          <w:rFonts w:hint="default" w:ascii="Times New Roman" w:hAnsi="Times New Roman" w:eastAsia="仿宋_GB2312" w:cs="Times New Roman"/>
          <w:sz w:val="32"/>
          <w:szCs w:val="32"/>
          <w:lang w:val="en-US" w:eastAsia="zh-CN"/>
        </w:rPr>
        <w:t>。</w:t>
      </w:r>
    </w:p>
    <w:p>
      <w:pPr>
        <w:pStyle w:val="19"/>
        <w:keepNext w:val="0"/>
        <w:keepLines w:val="0"/>
        <w:pageBreakBefore w:val="0"/>
        <w:widowControl w:val="0"/>
        <w:kinsoku/>
        <w:wordWrap/>
        <w:overflowPunct/>
        <w:topLinePunct w:val="0"/>
        <w:autoSpaceDE/>
        <w:autoSpaceDN/>
        <w:bidi w:val="0"/>
        <w:adjustRightInd/>
        <w:snapToGrid/>
        <w:spacing w:line="594" w:lineRule="exact"/>
        <w:ind w:right="0" w:firstLine="640" w:firstLineChars="200"/>
        <w:jc w:val="both"/>
        <w:textAlignment w:val="auto"/>
        <w:rPr>
          <w:rFonts w:ascii="Times New Roman" w:hAnsi="Times New Roman" w:eastAsia="仿宋_GB2312"/>
          <w:sz w:val="32"/>
          <w:szCs w:val="32"/>
        </w:rPr>
      </w:pPr>
      <w:r>
        <w:rPr>
          <w:rFonts w:hint="default" w:ascii="Times New Roman" w:hAnsi="Times New Roman" w:eastAsia="黑体" w:cs="Times New Roman"/>
          <w:spacing w:val="0"/>
          <w:sz w:val="32"/>
          <w:szCs w:val="32"/>
          <w:lang w:val="en-US" w:eastAsia="zh-CN"/>
        </w:rPr>
        <w:t>三</w:t>
      </w:r>
      <w:r>
        <w:rPr>
          <w:rFonts w:hint="default" w:ascii="Times New Roman" w:hAnsi="Times New Roman" w:eastAsia="黑体" w:cs="Times New Roman"/>
          <w:spacing w:val="0"/>
          <w:sz w:val="32"/>
          <w:szCs w:val="32"/>
        </w:rPr>
        <w:t>、</w:t>
      </w:r>
      <w:r>
        <w:rPr>
          <w:rFonts w:hint="eastAsia" w:eastAsia="黑体" w:cs="Times New Roman"/>
          <w:color w:val="000000" w:themeColor="text1"/>
          <w:sz w:val="32"/>
          <w:szCs w:val="32"/>
          <w:highlight w:val="none"/>
          <w:lang w:eastAsia="zh-CN"/>
          <w14:textFill>
            <w14:solidFill>
              <w14:schemeClr w14:val="tx1"/>
            </w14:solidFill>
          </w14:textFill>
        </w:rPr>
        <w:t>柠檬黄</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黑体" w:cs="Times New Roman"/>
          <w:spacing w:val="0"/>
          <w:sz w:val="32"/>
          <w:szCs w:val="32"/>
        </w:rPr>
      </w:pP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柠檬黄</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又名食用黄色</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号，</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水溶性</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偶氮类</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化合物，</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是常见的人工合成着色剂，在食品</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生产</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中应用广泛。如果长期摄入</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柠檬黄</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超标的食品</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可能</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对人体肝脏等造成损害。《食品安全国家标准 食品添加剂使用标准》（GB 2760</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2014）中规定，</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蜜饯凉果</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中</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柠檬黄</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的最大使用量为0.</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g/kg。</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蜜饯凉果</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中</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柠檬黄</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检</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验</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值</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超标的</w:t>
      </w:r>
      <w:r>
        <w:rPr>
          <w:rFonts w:hint="default" w:ascii="Times New Roman" w:hAnsi="Times New Roman" w:eastAsia="仿宋_GB2312" w:cs="Times New Roman"/>
          <w:sz w:val="32"/>
          <w:szCs w:val="32"/>
          <w:highlight w:val="none"/>
        </w:rPr>
        <w:t>原因</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可能是</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生产过程中计量不准</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确</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也可能是生产企业为改善产品色泽</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提高市场价值而过量使用</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还可能是企业掺假造假滥用色素。</w:t>
      </w:r>
    </w:p>
    <w:p>
      <w:pPr>
        <w:pStyle w:val="19"/>
        <w:widowControl w:val="0"/>
        <w:adjustRightInd/>
        <w:snapToGrid/>
        <w:spacing w:line="594" w:lineRule="exact"/>
        <w:ind w:firstLine="640" w:firstLineChars="200"/>
        <w:rPr>
          <w:rFonts w:hint="default" w:eastAsia="黑体"/>
          <w:spacing w:val="-12"/>
          <w:sz w:val="32"/>
          <w:szCs w:val="32"/>
          <w:lang w:val="en-US" w:eastAsia="zh-CN"/>
        </w:rPr>
      </w:pPr>
      <w:r>
        <w:rPr>
          <w:rFonts w:hint="eastAsia" w:ascii="Times New Roman" w:hAnsi="Times New Roman" w:eastAsia="黑体" w:cs="Times New Roman"/>
          <w:spacing w:val="0"/>
          <w:sz w:val="32"/>
          <w:szCs w:val="32"/>
          <w:lang w:val="en-US" w:eastAsia="zh-CN"/>
        </w:rPr>
        <w:t>四</w:t>
      </w:r>
      <w:r>
        <w:rPr>
          <w:rFonts w:hint="default" w:ascii="Times New Roman" w:hAnsi="Times New Roman" w:eastAsia="黑体" w:cs="Times New Roman"/>
          <w:spacing w:val="0"/>
          <w:sz w:val="32"/>
          <w:szCs w:val="32"/>
        </w:rPr>
        <w:t>、</w:t>
      </w:r>
      <w:r>
        <w:rPr>
          <w:rFonts w:hint="eastAsia" w:eastAsia="黑体"/>
          <w:spacing w:val="-12"/>
          <w:sz w:val="32"/>
          <w:szCs w:val="32"/>
        </w:rPr>
        <w:t>苯甲酸及其钠盐（以苯甲酸计）</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黑体" w:hAnsi="黑体" w:eastAsia="黑体" w:cs="黑体"/>
          <w:sz w:val="32"/>
          <w:szCs w:val="32"/>
          <w:lang w:val="en-US" w:eastAsia="zh-CN"/>
        </w:rPr>
      </w:pPr>
      <w:r>
        <w:rPr>
          <w:rFonts w:ascii="Times New Roman" w:hAnsi="Times New Roman" w:eastAsia="仿宋_GB2312" w:cs="Times New Roman"/>
          <w:color w:val="000000" w:themeColor="text1"/>
          <w:sz w:val="32"/>
          <w:szCs w:val="32"/>
          <w14:textFill>
            <w14:solidFill>
              <w14:schemeClr w14:val="tx1"/>
            </w14:solidFill>
          </w14:textFill>
        </w:rPr>
        <w:t>苯甲酸及其钠盐是食品工业中常用的一种防腐剂，对霉菌、酵母和细菌有较好的抑制作用。长期食用苯甲酸及其钠盐超标的食品，可能</w:t>
      </w:r>
      <w:r>
        <w:rPr>
          <w:rFonts w:hint="eastAsia" w:ascii="Times New Roman" w:hAnsi="Times New Roman" w:eastAsia="仿宋_GB2312" w:cs="Times New Roman"/>
          <w:color w:val="000000" w:themeColor="text1"/>
          <w:sz w:val="32"/>
          <w:szCs w:val="32"/>
          <w14:textFill>
            <w14:solidFill>
              <w14:schemeClr w14:val="tx1"/>
            </w14:solidFill>
          </w14:textFill>
        </w:rPr>
        <w:t>导致</w:t>
      </w:r>
      <w:r>
        <w:rPr>
          <w:rFonts w:ascii="Times New Roman" w:hAnsi="Times New Roman" w:eastAsia="仿宋_GB2312" w:cs="Times New Roman"/>
          <w:color w:val="000000" w:themeColor="text1"/>
          <w:sz w:val="32"/>
          <w:szCs w:val="32"/>
          <w14:textFill>
            <w14:solidFill>
              <w14:schemeClr w14:val="tx1"/>
            </w14:solidFill>
          </w14:textFill>
        </w:rPr>
        <w:t>肝脏积累性中毒，危害肝脏健康。《食品安全国家标准</w:t>
      </w:r>
      <w:r>
        <w:rPr>
          <w:rFonts w:hint="eastAsia" w:ascii="Times New Roman" w:hAnsi="Times New Roman" w:eastAsia="仿宋_GB2312" w:cs="Times New Roman"/>
          <w:color w:val="000000" w:themeColor="text1"/>
          <w:sz w:val="32"/>
          <w:szCs w:val="32"/>
          <w14:textFill>
            <w14:solidFill>
              <w14:schemeClr w14:val="tx1"/>
            </w14:solidFill>
          </w14:textFill>
        </w:rPr>
        <w:t xml:space="preserve"> </w:t>
      </w:r>
      <w:r>
        <w:rPr>
          <w:rFonts w:ascii="Times New Roman" w:hAnsi="Times New Roman" w:eastAsia="仿宋_GB2312" w:cs="Times New Roman"/>
          <w:color w:val="000000" w:themeColor="text1"/>
          <w:sz w:val="32"/>
          <w:szCs w:val="32"/>
          <w14:textFill>
            <w14:solidFill>
              <w14:schemeClr w14:val="tx1"/>
            </w14:solidFill>
          </w14:textFill>
        </w:rPr>
        <w:t>食品添加剂使用标准》（GB</w:t>
      </w:r>
      <w:r>
        <w:rPr>
          <w:rFonts w:hint="eastAsia" w:ascii="Times New Roman" w:hAnsi="Times New Roman" w:eastAsia="仿宋_GB2312" w:cs="Times New Roman"/>
          <w:color w:val="000000" w:themeColor="text1"/>
          <w:sz w:val="32"/>
          <w:szCs w:val="32"/>
          <w14:textFill>
            <w14:solidFill>
              <w14:schemeClr w14:val="tx1"/>
            </w14:solidFill>
          </w14:textFill>
        </w:rPr>
        <w:t xml:space="preserve"> </w:t>
      </w:r>
      <w:r>
        <w:rPr>
          <w:rFonts w:ascii="Times New Roman" w:hAnsi="Times New Roman" w:eastAsia="仿宋_GB2312" w:cs="Times New Roman"/>
          <w:color w:val="000000" w:themeColor="text1"/>
          <w:sz w:val="32"/>
          <w:szCs w:val="32"/>
          <w14:textFill>
            <w14:solidFill>
              <w14:schemeClr w14:val="tx1"/>
            </w14:solidFill>
          </w14:textFill>
        </w:rPr>
        <w:t>2760</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2014）中规定</w:t>
      </w:r>
      <w:r>
        <w:rPr>
          <w:rFonts w:hint="default" w:ascii="Times New Roman" w:hAnsi="Times New Roman" w:eastAsia="仿宋_GB2312" w:cs="Times New Roman"/>
          <w:spacing w:val="0"/>
          <w:sz w:val="32"/>
          <w:szCs w:val="32"/>
        </w:rPr>
        <w:t>，</w:t>
      </w:r>
      <w:r>
        <w:rPr>
          <w:rFonts w:hint="eastAsia" w:ascii="Calibri" w:hAnsi="Calibri" w:eastAsia="仿宋_GB2312" w:cs="Times New Roman"/>
          <w:kern w:val="2"/>
          <w:sz w:val="32"/>
          <w:szCs w:val="32"/>
          <w:lang w:val="en-US" w:eastAsia="zh-CN" w:bidi="ar-SA"/>
        </w:rPr>
        <w:t>蔬菜干制品中</w:t>
      </w:r>
      <w:r>
        <w:rPr>
          <w:rFonts w:hint="eastAsia" w:ascii="Times New Roman" w:hAnsi="Times New Roman" w:eastAsia="仿宋_GB2312" w:cs="Times New Roman"/>
          <w:spacing w:val="0"/>
          <w:sz w:val="32"/>
          <w:szCs w:val="32"/>
          <w:lang w:val="en-US" w:eastAsia="zh-CN"/>
        </w:rPr>
        <w:t>不得使用</w:t>
      </w:r>
      <w:r>
        <w:rPr>
          <w:rFonts w:hint="default" w:ascii="Times New Roman" w:hAnsi="Times New Roman" w:eastAsia="仿宋_GB2312" w:cs="Times New Roman"/>
          <w:color w:val="000000" w:themeColor="text1"/>
          <w:sz w:val="32"/>
          <w:szCs w:val="32"/>
          <w14:textFill>
            <w14:solidFill>
              <w14:schemeClr w14:val="tx1"/>
            </w14:solidFill>
          </w14:textFill>
        </w:rPr>
        <w:t>苯甲酸及其钠盐</w:t>
      </w:r>
      <w:r>
        <w:rPr>
          <w:rFonts w:hint="default" w:ascii="Times New Roman" w:hAnsi="Times New Roman" w:eastAsia="仿宋_GB2312" w:cs="Times New Roman"/>
          <w:spacing w:val="0"/>
          <w:sz w:val="32"/>
          <w:szCs w:val="32"/>
        </w:rPr>
        <w:t>。</w:t>
      </w:r>
      <w:r>
        <w:rPr>
          <w:rFonts w:hint="eastAsia" w:ascii="Times New Roman" w:hAnsi="Times New Roman" w:eastAsia="仿宋_GB2312" w:cs="Times New Roman"/>
          <w:spacing w:val="0"/>
          <w:sz w:val="32"/>
          <w:szCs w:val="32"/>
          <w:lang w:val="en-US" w:eastAsia="zh-CN"/>
        </w:rPr>
        <w:t>蔬菜干制品</w:t>
      </w:r>
      <w:r>
        <w:rPr>
          <w:rFonts w:hint="default" w:ascii="Times New Roman" w:hAnsi="Times New Roman" w:eastAsia="仿宋_GB2312" w:cs="Times New Roman"/>
          <w:spacing w:val="0"/>
          <w:sz w:val="32"/>
          <w:szCs w:val="32"/>
          <w:lang w:val="en-US" w:eastAsia="zh-CN"/>
        </w:rPr>
        <w:t>中</w:t>
      </w:r>
      <w:r>
        <w:rPr>
          <w:rFonts w:hint="eastAsia" w:ascii="Times New Roman" w:hAnsi="Times New Roman" w:eastAsia="仿宋_GB2312" w:cs="Times New Roman"/>
          <w:spacing w:val="0"/>
          <w:sz w:val="32"/>
          <w:szCs w:val="32"/>
          <w:lang w:val="en-US" w:eastAsia="zh-CN"/>
        </w:rPr>
        <w:t>检出</w:t>
      </w:r>
      <w:r>
        <w:rPr>
          <w:rFonts w:hint="default" w:ascii="Times New Roman" w:hAnsi="Times New Roman" w:eastAsia="仿宋_GB2312" w:cs="Times New Roman"/>
          <w:color w:val="000000" w:themeColor="text1"/>
          <w:sz w:val="32"/>
          <w:szCs w:val="32"/>
          <w14:textFill>
            <w14:solidFill>
              <w14:schemeClr w14:val="tx1"/>
            </w14:solidFill>
          </w14:textFill>
        </w:rPr>
        <w:t>苯甲酸及其钠盐</w:t>
      </w:r>
      <w:r>
        <w:rPr>
          <w:rFonts w:hint="default" w:ascii="Times New Roman" w:hAnsi="Times New Roman" w:eastAsia="仿宋_GB2312" w:cs="Times New Roman"/>
          <w:spacing w:val="0"/>
          <w:sz w:val="32"/>
          <w:szCs w:val="32"/>
        </w:rPr>
        <w:t>的原因，可能是生产经营企业为延长产品保质期或者弥补产品生产过程卫生条件不佳而超</w:t>
      </w:r>
      <w:r>
        <w:rPr>
          <w:rFonts w:hint="eastAsia" w:ascii="Times New Roman" w:hAnsi="Times New Roman" w:eastAsia="仿宋_GB2312" w:cs="Times New Roman"/>
          <w:spacing w:val="0"/>
          <w:sz w:val="32"/>
          <w:szCs w:val="32"/>
          <w:lang w:val="en-US" w:eastAsia="zh-CN"/>
        </w:rPr>
        <w:t>范围</w:t>
      </w:r>
      <w:r>
        <w:rPr>
          <w:rFonts w:hint="default" w:ascii="Times New Roman" w:hAnsi="Times New Roman" w:eastAsia="仿宋_GB2312" w:cs="Times New Roman"/>
          <w:spacing w:val="0"/>
          <w:sz w:val="32"/>
          <w:szCs w:val="32"/>
        </w:rPr>
        <w:t>使用</w:t>
      </w:r>
      <w:r>
        <w:rPr>
          <w:rFonts w:hint="default" w:ascii="Times New Roman" w:hAnsi="Times New Roman" w:eastAsia="仿宋_GB2312" w:cs="Times New Roman"/>
          <w:spacing w:val="0"/>
          <w:sz w:val="32"/>
          <w:szCs w:val="32"/>
          <w:lang w:eastAsia="zh-CN"/>
        </w:rPr>
        <w:t>。</w:t>
      </w:r>
    </w:p>
    <w:p>
      <w:pPr>
        <w:pStyle w:val="19"/>
        <w:keepNext w:val="0"/>
        <w:keepLines w:val="0"/>
        <w:pageBreakBefore w:val="0"/>
        <w:widowControl w:val="0"/>
        <w:kinsoku/>
        <w:wordWrap/>
        <w:overflowPunct/>
        <w:topLinePunct w:val="0"/>
        <w:autoSpaceDE/>
        <w:autoSpaceDN/>
        <w:bidi w:val="0"/>
        <w:adjustRightInd/>
        <w:snapToGrid/>
        <w:spacing w:line="594" w:lineRule="exact"/>
        <w:ind w:right="0" w:firstLine="640" w:firstLineChars="200"/>
        <w:jc w:val="both"/>
        <w:textAlignment w:val="auto"/>
        <w:rPr>
          <w:rFonts w:ascii="Times New Roman" w:hAnsi="Times New Roman" w:eastAsia="仿宋_GB2312"/>
          <w:color w:val="auto"/>
          <w:sz w:val="32"/>
          <w:szCs w:val="32"/>
          <w:highlight w:val="none"/>
        </w:rPr>
      </w:pPr>
      <w:r>
        <w:rPr>
          <w:rFonts w:hint="eastAsia" w:ascii="黑体" w:hAnsi="黑体" w:eastAsia="黑体" w:cs="黑体"/>
          <w:color w:val="auto"/>
          <w:kern w:val="2"/>
          <w:sz w:val="32"/>
          <w:szCs w:val="32"/>
          <w:highlight w:val="none"/>
          <w:lang w:val="en-US" w:eastAsia="zh-CN" w:bidi="ar-SA"/>
        </w:rPr>
        <w:t>五、甜蜜素（以环己基氨基磺酸计）</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甜蜜素，化学名称为环己基氨基磺酸钠，是食品生产中常用的</w:t>
      </w:r>
      <w:r>
        <w:rPr>
          <w:rFonts w:hint="default" w:ascii="Times New Roman" w:hAnsi="Times New Roman" w:eastAsia="仿宋_GB2312" w:cs="Times New Roman"/>
          <w:sz w:val="32"/>
          <w:szCs w:val="32"/>
          <w:lang w:val="en-US" w:eastAsia="zh-CN"/>
        </w:rPr>
        <w:fldChar w:fldCharType="begin"/>
      </w:r>
      <w:r>
        <w:rPr>
          <w:rFonts w:hint="default" w:ascii="Times New Roman" w:hAnsi="Times New Roman" w:eastAsia="仿宋_GB2312" w:cs="Times New Roman"/>
          <w:sz w:val="32"/>
          <w:szCs w:val="32"/>
          <w:lang w:val="en-US" w:eastAsia="zh-CN"/>
        </w:rPr>
        <w:instrText xml:space="preserve"> HYPERLINK "https://baike.baidu.com/item/%E6%B7%BB%E5%8A%A0%E5%89%82/5134870" \t "https://baike.baidu.com/item/%E7%94%9C%E8%9C%9C%E7%B4%A0/_blank" </w:instrText>
      </w:r>
      <w:r>
        <w:rPr>
          <w:rFonts w:hint="default" w:ascii="Times New Roman" w:hAnsi="Times New Roman" w:eastAsia="仿宋_GB2312" w:cs="Times New Roman"/>
          <w:sz w:val="32"/>
          <w:szCs w:val="32"/>
          <w:lang w:val="en-US" w:eastAsia="zh-CN"/>
        </w:rPr>
        <w:fldChar w:fldCharType="separate"/>
      </w:r>
      <w:r>
        <w:rPr>
          <w:rFonts w:hint="default" w:ascii="Times New Roman" w:hAnsi="Times New Roman" w:eastAsia="仿宋_GB2312" w:cs="Times New Roman"/>
          <w:sz w:val="32"/>
          <w:szCs w:val="32"/>
          <w:lang w:val="en-US" w:eastAsia="zh-CN"/>
        </w:rPr>
        <w:t>甜味剂</w:t>
      </w:r>
      <w:r>
        <w:rPr>
          <w:rFonts w:hint="default" w:ascii="Times New Roman" w:hAnsi="Times New Roman" w:eastAsia="仿宋_GB2312" w:cs="Times New Roman"/>
          <w:sz w:val="32"/>
          <w:szCs w:val="32"/>
          <w:lang w:val="en-US" w:eastAsia="zh-CN"/>
        </w:rPr>
        <w:fldChar w:fldCharType="end"/>
      </w:r>
      <w:r>
        <w:rPr>
          <w:rFonts w:hint="default" w:ascii="Times New Roman" w:hAnsi="Times New Roman" w:eastAsia="仿宋_GB2312" w:cs="Times New Roman"/>
          <w:sz w:val="32"/>
          <w:szCs w:val="32"/>
          <w:lang w:val="en-US" w:eastAsia="zh-CN"/>
        </w:rPr>
        <w:t>之一，甜度是蔗糖的40</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50倍。长期摄入甜蜜素超标的食品，可能会对人体的肝脏和神经系统造成一定危害。《食品安全国家标准 食品添加剂使用标准》（GB 2760</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2014）中规定，</w:t>
      </w:r>
      <w:r>
        <w:rPr>
          <w:rFonts w:hint="eastAsia" w:ascii="Times New Roman" w:hAnsi="Times New Roman" w:eastAsia="仿宋_GB2312" w:cs="Times New Roman"/>
          <w:sz w:val="32"/>
          <w:szCs w:val="32"/>
          <w:lang w:val="en-US" w:eastAsia="zh-CN"/>
        </w:rPr>
        <w:t>发酵面制品中不得使用甜蜜素（以环己基氨基磺酸计）。发酵面制品中检出甜蜜素（以环己基氨基磺酸计）的原因，可能是食品生产经营者违规添加以改善口感。</w:t>
      </w:r>
    </w:p>
    <w:p>
      <w:pPr>
        <w:keepNext w:val="0"/>
        <w:keepLines w:val="0"/>
        <w:pageBreakBefore w:val="0"/>
        <w:widowControl w:val="0"/>
        <w:kinsoku/>
        <w:wordWrap/>
        <w:overflowPunct/>
        <w:topLinePunct w:val="0"/>
        <w:autoSpaceDE/>
        <w:autoSpaceDN/>
        <w:bidi w:val="0"/>
        <w:adjustRightInd/>
        <w:snapToGrid/>
        <w:spacing w:line="594" w:lineRule="exact"/>
        <w:ind w:firstLine="592" w:firstLineChars="200"/>
        <w:textAlignment w:val="auto"/>
        <w:rPr>
          <w:rFonts w:hint="default" w:ascii="Times New Roman" w:hAnsi="Times New Roman" w:eastAsia="黑体" w:cs="Times New Roman"/>
          <w:color w:val="auto"/>
          <w:sz w:val="32"/>
          <w:szCs w:val="32"/>
          <w:lang w:val="en-US"/>
        </w:rPr>
      </w:pPr>
      <w:r>
        <w:rPr>
          <w:rFonts w:hint="eastAsia" w:ascii="Times New Roman" w:hAnsi="Times New Roman" w:eastAsia="黑体" w:cs="Times New Roman"/>
          <w:color w:val="auto"/>
          <w:spacing w:val="-12"/>
          <w:sz w:val="32"/>
          <w:szCs w:val="32"/>
          <w:lang w:val="en-US" w:eastAsia="zh-CN"/>
        </w:rPr>
        <w:t>六、</w:t>
      </w:r>
      <w:r>
        <w:rPr>
          <w:rFonts w:hint="default" w:ascii="Times New Roman" w:hAnsi="Times New Roman" w:eastAsia="黑体" w:cs="Times New Roman"/>
          <w:color w:val="auto"/>
          <w:spacing w:val="-12"/>
          <w:sz w:val="32"/>
          <w:szCs w:val="32"/>
          <w:lang w:val="en-US" w:eastAsia="zh-CN"/>
        </w:rPr>
        <w:t>二氧化硫</w:t>
      </w:r>
      <w:r>
        <w:rPr>
          <w:rFonts w:hint="eastAsia" w:ascii="Times New Roman" w:hAnsi="Times New Roman" w:eastAsia="黑体" w:cs="Times New Roman"/>
          <w:color w:val="auto"/>
          <w:spacing w:val="-12"/>
          <w:sz w:val="32"/>
          <w:szCs w:val="32"/>
          <w:lang w:val="en-US" w:eastAsia="zh-CN"/>
        </w:rPr>
        <w:t>残留量</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color w:val="auto"/>
          <w:kern w:val="2"/>
          <w:sz w:val="32"/>
          <w:szCs w:val="32"/>
          <w:highlight w:val="none"/>
          <w:lang w:val="en-US" w:eastAsia="zh-CN" w:bidi="ar-SA"/>
        </w:rPr>
        <w:t>二氧化硫是食品加工中常用的漂白剂和防腐剂，具有漂白、防腐和抗氧化作用。少量二氧化硫进入人体不会对身体造成健康危害，但过量食用会引起如恶心、呕吐等胃肠道反应。《食品安全国家标准 食品添加剂使用标准》（GB 2760</w:t>
      </w:r>
      <w:r>
        <w:rPr>
          <w:rFonts w:hint="eastAsia" w:ascii="仿宋_GB2312" w:hAnsi="仿宋_GB2312" w:eastAsia="仿宋_GB2312" w:cs="仿宋_GB2312"/>
          <w:color w:val="auto"/>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2014）中规定，</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干制蔬菜（脱水马铃薯除外）</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中二氧化硫（以二氧化硫残留量计）最大使用量为0.2g/kg</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。蔬菜干制品</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中二氧化硫残留量</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超标的</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原因，</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可能是生产企业为了</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改善</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产品</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色泽而超量使用二氧化硫</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也可能是</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使用时不计量或计量不准确；还可能是</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由于使用硫磺熏蒸漂白这种传统工艺或直接使用亚硫酸盐浸泡</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所</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造成</w:t>
      </w:r>
      <w:r>
        <w:rPr>
          <w:rFonts w:hint="default" w:ascii="Times New Roman" w:hAnsi="Times New Roman" w:eastAsia="仿宋_GB2312" w:cs="Times New Roman"/>
          <w:color w:val="auto"/>
          <w:kern w:val="2"/>
          <w:sz w:val="32"/>
          <w:szCs w:val="32"/>
          <w:highlight w:val="none"/>
          <w:lang w:val="en-US" w:eastAsia="zh-CN" w:bidi="ar-SA"/>
        </w:rPr>
        <w:t>。</w:t>
      </w:r>
    </w:p>
    <w:p>
      <w:pPr>
        <w:widowControl/>
        <w:numPr>
          <w:ilvl w:val="0"/>
          <w:numId w:val="0"/>
        </w:numPr>
        <w:spacing w:line="594" w:lineRule="exact"/>
        <w:ind w:left="0" w:leftChars="0" w:firstLine="640" w:firstLineChars="200"/>
        <w:rPr>
          <w:rFonts w:ascii="黑体" w:hAnsi="黑体" w:eastAsia="黑体" w:cs="黑体"/>
          <w:b w:val="0"/>
          <w:bCs w:val="0"/>
          <w:sz w:val="32"/>
          <w:szCs w:val="32"/>
        </w:rPr>
      </w:pPr>
      <w:r>
        <w:rPr>
          <w:rFonts w:hint="eastAsia" w:ascii="黑体" w:hAnsi="黑体" w:eastAsia="黑体" w:cs="黑体"/>
          <w:b w:val="0"/>
          <w:bCs w:val="0"/>
          <w:sz w:val="32"/>
          <w:szCs w:val="32"/>
          <w:lang w:val="en-US" w:eastAsia="zh-CN"/>
        </w:rPr>
        <w:t>七、铁</w:t>
      </w:r>
    </w:p>
    <w:p>
      <w:pPr>
        <w:pStyle w:val="2"/>
        <w:adjustRightInd/>
        <w:spacing w:after="0" w:line="594" w:lineRule="exact"/>
        <w:ind w:firstLine="592"/>
        <w:rPr>
          <w:rFonts w:hint="eastAsia" w:ascii="黑体" w:hAnsi="黑体" w:eastAsia="黑体" w:cs="黑体"/>
          <w:sz w:val="32"/>
          <w:szCs w:val="32"/>
          <w:lang w:val="en-US" w:eastAsia="zh-CN"/>
        </w:rPr>
      </w:pPr>
      <w:r>
        <w:rPr>
          <w:rFonts w:hint="eastAsia" w:ascii="Times New Roman" w:hAnsi="Times New Roman" w:eastAsia="仿宋_GB2312"/>
          <w:sz w:val="32"/>
          <w:szCs w:val="32"/>
        </w:rPr>
        <w:t>铁（Fe）</w:t>
      </w:r>
      <w:r>
        <w:rPr>
          <w:rFonts w:hint="eastAsia" w:eastAsia="仿宋_GB2312"/>
          <w:sz w:val="32"/>
          <w:szCs w:val="32"/>
        </w:rPr>
        <w:t>是人体必需的微量元素之一，主要参与体内氧的运送和组织呼吸过程、维持正常的造血功能、参与维持正常的免疫功能等。长期膳食铁供给不足，可</w:t>
      </w:r>
      <w:r>
        <w:rPr>
          <w:rFonts w:hint="default" w:eastAsia="仿宋_GB2312"/>
          <w:sz w:val="32"/>
          <w:szCs w:val="32"/>
          <w:lang w:val="en-US"/>
        </w:rPr>
        <w:t>引起</w:t>
      </w:r>
      <w:r>
        <w:rPr>
          <w:rFonts w:hint="eastAsia" w:eastAsia="仿宋_GB2312"/>
          <w:sz w:val="32"/>
          <w:szCs w:val="32"/>
        </w:rPr>
        <w:t>体内铁缺乏或导致缺铁性贫血</w:t>
      </w:r>
      <w:r>
        <w:rPr>
          <w:rFonts w:hint="eastAsia" w:eastAsia="仿宋_GB2312"/>
          <w:sz w:val="32"/>
          <w:szCs w:val="32"/>
          <w:lang w:val="en-US" w:eastAsia="zh-CN"/>
        </w:rPr>
        <w:t>。铁摄入过量可能会引起急性铁中毒如恶心、呕吐和血性腹泻，或慢性铁中毒如肝纤维化和肝细胞瘤等，还可能增加糖尿病、心血管疾病风险。</w:t>
      </w:r>
      <w:r>
        <w:rPr>
          <w:rFonts w:hint="eastAsia" w:ascii="Times New Roman" w:hAnsi="Times New Roman" w:eastAsia="仿宋_GB2312"/>
          <w:sz w:val="32"/>
          <w:szCs w:val="32"/>
        </w:rPr>
        <w:t>《食品安全国家标准 较大婴儿和幼儿配方食品》（GB 1076</w:t>
      </w:r>
      <w:r>
        <w:rPr>
          <w:rFonts w:hint="eastAsia" w:ascii="Times New Roman" w:hAnsi="Times New Roman" w:eastAsia="仿宋_GB2312"/>
          <w:sz w:val="32"/>
          <w:szCs w:val="32"/>
          <w:lang w:val="en-US" w:eastAsia="zh-CN"/>
        </w:rPr>
        <w:t>7</w:t>
      </w:r>
      <w:r>
        <w:rPr>
          <w:rFonts w:hint="eastAsia" w:ascii="Times New Roman" w:hAnsi="Times New Roman" w:eastAsia="仿宋_GB2312"/>
          <w:sz w:val="32"/>
          <w:szCs w:val="32"/>
        </w:rPr>
        <w:t>—20</w:t>
      </w:r>
      <w:r>
        <w:rPr>
          <w:rFonts w:hint="eastAsia" w:ascii="Times New Roman" w:hAnsi="Times New Roman" w:eastAsia="仿宋_GB2312"/>
          <w:sz w:val="32"/>
          <w:szCs w:val="32"/>
          <w:lang w:val="en-US" w:eastAsia="zh-CN"/>
        </w:rPr>
        <w:t>10</w:t>
      </w:r>
      <w:r>
        <w:rPr>
          <w:rFonts w:hint="eastAsia" w:ascii="Times New Roman" w:hAnsi="Times New Roman" w:eastAsia="仿宋_GB2312"/>
          <w:sz w:val="32"/>
          <w:szCs w:val="32"/>
        </w:rPr>
        <w:t>）中规定，</w:t>
      </w:r>
      <w:r>
        <w:rPr>
          <w:rFonts w:hint="eastAsia" w:ascii="Times New Roman" w:hAnsi="Times New Roman" w:eastAsia="仿宋_GB2312"/>
          <w:sz w:val="32"/>
          <w:szCs w:val="32"/>
          <w:lang w:val="en-US" w:eastAsia="zh-CN"/>
        </w:rPr>
        <w:t>较大</w:t>
      </w:r>
      <w:r>
        <w:rPr>
          <w:rFonts w:hint="eastAsia" w:ascii="Times New Roman" w:hAnsi="Times New Roman" w:eastAsia="仿宋_GB2312"/>
          <w:sz w:val="32"/>
          <w:szCs w:val="32"/>
        </w:rPr>
        <w:t>婴儿配方食品中铁含量</w:t>
      </w:r>
      <w:r>
        <w:rPr>
          <w:rFonts w:hint="eastAsia" w:ascii="Times New Roman" w:hAnsi="Times New Roman" w:eastAsia="仿宋_GB2312"/>
          <w:sz w:val="32"/>
          <w:szCs w:val="32"/>
          <w:lang w:val="en-US" w:eastAsia="zh-CN"/>
        </w:rPr>
        <w:t>应在</w:t>
      </w:r>
      <w:r>
        <w:rPr>
          <w:rFonts w:hint="eastAsia" w:ascii="Times New Roman" w:hAnsi="Times New Roman" w:eastAsia="仿宋_GB2312"/>
          <w:sz w:val="32"/>
          <w:szCs w:val="32"/>
        </w:rPr>
        <w:t>0.</w:t>
      </w:r>
      <w:r>
        <w:rPr>
          <w:rFonts w:hint="eastAsia" w:ascii="Times New Roman" w:hAnsi="Times New Roman" w:eastAsia="仿宋_GB2312"/>
          <w:sz w:val="32"/>
          <w:szCs w:val="32"/>
          <w:lang w:val="en-US" w:eastAsia="zh-CN"/>
        </w:rPr>
        <w:t>25</w:t>
      </w:r>
      <w:r>
        <w:rPr>
          <w:rFonts w:hint="eastAsia" w:ascii="Times New Roman" w:hAnsi="Times New Roman" w:eastAsia="仿宋_GB2312"/>
          <w:sz w:val="32"/>
          <w:szCs w:val="32"/>
        </w:rPr>
        <w:t>—0.</w:t>
      </w:r>
      <w:r>
        <w:rPr>
          <w:rFonts w:hint="eastAsia" w:ascii="Times New Roman" w:hAnsi="Times New Roman" w:eastAsia="仿宋_GB2312"/>
          <w:sz w:val="32"/>
          <w:szCs w:val="32"/>
          <w:lang w:val="en-US" w:eastAsia="zh-CN"/>
        </w:rPr>
        <w:t>50</w:t>
      </w:r>
      <w:r>
        <w:rPr>
          <w:rFonts w:hint="eastAsia" w:ascii="Times New Roman" w:hAnsi="Times New Roman" w:eastAsia="仿宋_GB2312"/>
          <w:sz w:val="32"/>
          <w:szCs w:val="32"/>
        </w:rPr>
        <w:t>mg/100kJ范围</w:t>
      </w:r>
      <w:r>
        <w:rPr>
          <w:rFonts w:hint="eastAsia" w:ascii="Times New Roman" w:hAnsi="Times New Roman" w:eastAsia="仿宋_GB2312"/>
          <w:sz w:val="32"/>
          <w:szCs w:val="32"/>
          <w:lang w:val="en-US" w:eastAsia="zh-CN"/>
        </w:rPr>
        <w:t>内</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较大</w:t>
      </w:r>
      <w:r>
        <w:rPr>
          <w:rFonts w:hint="eastAsia" w:ascii="Times New Roman" w:hAnsi="Times New Roman" w:eastAsia="仿宋_GB2312"/>
          <w:sz w:val="32"/>
          <w:szCs w:val="32"/>
        </w:rPr>
        <w:t>婴儿配方食品中铁</w:t>
      </w:r>
      <w:r>
        <w:rPr>
          <w:rFonts w:hint="eastAsia" w:ascii="Times New Roman" w:hAnsi="Times New Roman" w:eastAsia="仿宋_GB2312"/>
          <w:sz w:val="32"/>
          <w:szCs w:val="32"/>
          <w:lang w:val="en-US" w:eastAsia="zh-CN"/>
        </w:rPr>
        <w:t>含量超</w:t>
      </w:r>
      <w:r>
        <w:rPr>
          <w:rFonts w:hint="eastAsia" w:ascii="Times New Roman" w:hAnsi="Times New Roman" w:eastAsia="仿宋_GB2312"/>
          <w:sz w:val="32"/>
          <w:szCs w:val="32"/>
        </w:rPr>
        <w:t>标的原因，可能与生产工艺混合工序不到位，导致相关营养素在产品中分布不均匀有关。</w:t>
      </w:r>
    </w:p>
    <w:p>
      <w:pPr>
        <w:keepNext w:val="0"/>
        <w:keepLines w:val="0"/>
        <w:pageBreakBefore w:val="0"/>
        <w:widowControl w:val="0"/>
        <w:kinsoku/>
        <w:wordWrap/>
        <w:overflowPunct/>
        <w:topLinePunct w:val="0"/>
        <w:autoSpaceDN/>
        <w:bidi w:val="0"/>
        <w:spacing w:line="594" w:lineRule="exact"/>
        <w:ind w:firstLine="592" w:firstLineChars="200"/>
        <w:textAlignment w:val="auto"/>
        <w:rPr>
          <w:rFonts w:hint="eastAsia" w:ascii="黑体" w:hAnsi="黑体" w:eastAsia="黑体"/>
          <w:spacing w:val="-12"/>
          <w:sz w:val="32"/>
          <w:szCs w:val="32"/>
        </w:rPr>
      </w:pPr>
      <w:r>
        <w:rPr>
          <w:rFonts w:hint="eastAsia" w:ascii="黑体" w:hAnsi="黑体" w:eastAsia="黑体"/>
          <w:spacing w:val="-12"/>
          <w:sz w:val="32"/>
          <w:szCs w:val="32"/>
          <w:lang w:val="en-US" w:eastAsia="zh-CN"/>
        </w:rPr>
        <w:t>八、</w:t>
      </w:r>
      <w:r>
        <w:rPr>
          <w:rFonts w:hint="eastAsia" w:ascii="黑体" w:hAnsi="黑体" w:eastAsia="黑体"/>
          <w:spacing w:val="-12"/>
          <w:sz w:val="32"/>
          <w:szCs w:val="32"/>
        </w:rPr>
        <w:t>过氧化值</w:t>
      </w:r>
    </w:p>
    <w:p>
      <w:pPr>
        <w:pStyle w:val="2"/>
        <w:keepNext w:val="0"/>
        <w:keepLines w:val="0"/>
        <w:pageBreakBefore w:val="0"/>
        <w:widowControl w:val="0"/>
        <w:kinsoku/>
        <w:wordWrap/>
        <w:overflowPunct/>
        <w:topLinePunct w:val="0"/>
        <w:bidi w:val="0"/>
        <w:adjustRightInd/>
        <w:snapToGrid/>
        <w:spacing w:after="0" w:line="594" w:lineRule="exact"/>
        <w:ind w:firstLine="592"/>
        <w:textAlignment w:val="auto"/>
        <w:rPr>
          <w:rFonts w:hint="eastAsia" w:ascii="黑体" w:hAnsi="黑体" w:eastAsia="黑体" w:cs="黑体"/>
          <w:spacing w:val="0"/>
          <w:sz w:val="32"/>
          <w:szCs w:val="32"/>
          <w:lang w:val="en-US" w:eastAsia="zh-CN"/>
        </w:rPr>
      </w:pPr>
      <w:r>
        <w:rPr>
          <w:rFonts w:hint="default" w:ascii="Times New Roman" w:hAnsi="Times New Roman" w:eastAsia="仿宋_GB2312" w:cs="Times New Roman"/>
          <w:spacing w:val="0"/>
          <w:sz w:val="32"/>
          <w:szCs w:val="32"/>
          <w:lang w:eastAsia="zh-CN"/>
        </w:rPr>
        <w:t>过氧化值是油脂酸败的早期指标，</w:t>
      </w:r>
      <w:r>
        <w:rPr>
          <w:rFonts w:hint="default" w:ascii="Times New Roman" w:hAnsi="Times New Roman" w:eastAsia="仿宋_GB2312" w:cs="Times New Roman"/>
          <w:spacing w:val="0"/>
          <w:sz w:val="32"/>
          <w:szCs w:val="32"/>
        </w:rPr>
        <w:t>主要反映油脂被氧化</w:t>
      </w:r>
      <w:r>
        <w:rPr>
          <w:rFonts w:hint="default" w:ascii="Times New Roman" w:hAnsi="Times New Roman" w:eastAsia="仿宋_GB2312" w:cs="Times New Roman"/>
          <w:spacing w:val="0"/>
          <w:sz w:val="32"/>
          <w:szCs w:val="32"/>
          <w:lang w:eastAsia="zh-CN"/>
        </w:rPr>
        <w:t>的</w:t>
      </w:r>
      <w:r>
        <w:rPr>
          <w:rFonts w:hint="default" w:ascii="Times New Roman" w:hAnsi="Times New Roman" w:eastAsia="仿宋_GB2312" w:cs="Times New Roman"/>
          <w:spacing w:val="0"/>
          <w:sz w:val="32"/>
          <w:szCs w:val="32"/>
        </w:rPr>
        <w:t>程度。食用过氧化值超标的食品一般不会对人体健康造成损害，但长期食用过氧化值严重超标的食品可能导致肠胃不适、腹泻等。</w:t>
      </w:r>
      <w:r>
        <w:rPr>
          <w:rFonts w:hint="default" w:ascii="Times New Roman" w:hAnsi="Times New Roman" w:eastAsia="仿宋_GB2312" w:cs="Times New Roman"/>
          <w:sz w:val="32"/>
          <w:szCs w:val="32"/>
        </w:rPr>
        <w:t>《食品安全国家标准 植物油》（GB 2716</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2018）中规定</w:t>
      </w:r>
      <w:r>
        <w:rPr>
          <w:rFonts w:hint="default" w:ascii="Times New Roman" w:hAnsi="Times New Roman" w:eastAsia="仿宋_GB2312" w:cs="Times New Roman"/>
          <w:spacing w:val="0"/>
          <w:sz w:val="32"/>
          <w:szCs w:val="32"/>
        </w:rPr>
        <w:t>，</w:t>
      </w:r>
      <w:r>
        <w:rPr>
          <w:rFonts w:hint="default" w:ascii="Times New Roman" w:hAnsi="Times New Roman" w:eastAsia="仿宋_GB2312" w:cs="Times New Roman"/>
          <w:spacing w:val="0"/>
          <w:sz w:val="32"/>
          <w:szCs w:val="32"/>
          <w:lang w:val="en-US" w:eastAsia="zh-CN"/>
        </w:rPr>
        <w:t>食用植物油</w:t>
      </w:r>
      <w:r>
        <w:rPr>
          <w:rFonts w:hint="default" w:ascii="Times New Roman" w:hAnsi="Times New Roman" w:eastAsia="仿宋_GB2312" w:cs="Times New Roman"/>
          <w:sz w:val="32"/>
          <w:szCs w:val="32"/>
        </w:rPr>
        <w:t>（包括调和油）</w:t>
      </w:r>
      <w:r>
        <w:rPr>
          <w:rFonts w:hint="default" w:ascii="Times New Roman" w:hAnsi="Times New Roman" w:eastAsia="仿宋_GB2312" w:cs="Times New Roman"/>
          <w:spacing w:val="0"/>
          <w:sz w:val="32"/>
          <w:szCs w:val="32"/>
        </w:rPr>
        <w:t>中过氧化值的最大限量值为0.25g/100g。</w:t>
      </w:r>
      <w:r>
        <w:rPr>
          <w:rFonts w:hint="default" w:ascii="Times New Roman" w:hAnsi="Times New Roman" w:eastAsia="仿宋_GB2312" w:cs="Times New Roman"/>
          <w:spacing w:val="0"/>
          <w:sz w:val="32"/>
          <w:szCs w:val="32"/>
          <w:lang w:val="en-US" w:eastAsia="zh-CN"/>
        </w:rPr>
        <w:t>食用植物油</w:t>
      </w:r>
      <w:r>
        <w:rPr>
          <w:rFonts w:hint="default" w:ascii="Times New Roman" w:hAnsi="Times New Roman" w:eastAsia="仿宋_GB2312" w:cs="Times New Roman"/>
          <w:spacing w:val="0"/>
          <w:sz w:val="32"/>
          <w:szCs w:val="32"/>
        </w:rPr>
        <w:t>中过氧化值</w:t>
      </w:r>
      <w:r>
        <w:rPr>
          <w:rFonts w:hint="eastAsia" w:ascii="Times New Roman" w:hAnsi="Times New Roman" w:eastAsia="仿宋_GB2312" w:cs="Times New Roman"/>
          <w:spacing w:val="0"/>
          <w:sz w:val="32"/>
          <w:szCs w:val="32"/>
          <w:lang w:val="en-US" w:eastAsia="zh-CN"/>
        </w:rPr>
        <w:t>检验值</w:t>
      </w:r>
      <w:r>
        <w:rPr>
          <w:rFonts w:hint="default" w:ascii="Times New Roman" w:hAnsi="Times New Roman" w:eastAsia="仿宋_GB2312" w:cs="Times New Roman"/>
          <w:spacing w:val="0"/>
          <w:sz w:val="32"/>
          <w:szCs w:val="32"/>
          <w:lang w:eastAsia="zh-CN"/>
        </w:rPr>
        <w:t>超标</w:t>
      </w:r>
      <w:r>
        <w:rPr>
          <w:rFonts w:hint="default" w:ascii="Times New Roman" w:hAnsi="Times New Roman" w:eastAsia="仿宋_GB2312" w:cs="Times New Roman"/>
          <w:spacing w:val="0"/>
          <w:sz w:val="32"/>
          <w:szCs w:val="32"/>
        </w:rPr>
        <w:t>的原因，</w:t>
      </w:r>
      <w:r>
        <w:rPr>
          <w:rFonts w:hint="default" w:ascii="Times New Roman" w:hAnsi="Times New Roman" w:eastAsia="仿宋_GB2312" w:cs="Times New Roman"/>
          <w:sz w:val="32"/>
          <w:szCs w:val="32"/>
        </w:rPr>
        <w:t>可能是企业原料采购把关不严</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也可能是生产工艺不达标</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还</w:t>
      </w:r>
      <w:r>
        <w:rPr>
          <w:rFonts w:hint="default" w:ascii="Times New Roman" w:hAnsi="Times New Roman" w:eastAsia="仿宋_GB2312" w:cs="Times New Roman"/>
          <w:spacing w:val="0"/>
          <w:sz w:val="32"/>
          <w:szCs w:val="32"/>
        </w:rPr>
        <w:t>可能与</w:t>
      </w:r>
      <w:r>
        <w:rPr>
          <w:rFonts w:hint="default" w:ascii="Times New Roman" w:hAnsi="Times New Roman" w:eastAsia="仿宋_GB2312" w:cs="Times New Roman"/>
          <w:sz w:val="32"/>
          <w:szCs w:val="32"/>
        </w:rPr>
        <w:t>产品储藏条件不当有关</w:t>
      </w:r>
      <w:r>
        <w:rPr>
          <w:rFonts w:hint="default" w:ascii="Times New Roman" w:hAnsi="Times New Roman" w:eastAsia="仿宋_GB2312" w:cs="Times New Roman"/>
          <w:spacing w:val="0"/>
          <w:sz w:val="32"/>
          <w:szCs w:val="32"/>
        </w:rPr>
        <w:t>。</w:t>
      </w:r>
    </w:p>
    <w:p>
      <w:pPr>
        <w:pStyle w:val="2"/>
        <w:keepNext w:val="0"/>
        <w:keepLines w:val="0"/>
        <w:pageBreakBefore w:val="0"/>
        <w:widowControl w:val="0"/>
        <w:kinsoku/>
        <w:wordWrap/>
        <w:overflowPunct/>
        <w:topLinePunct w:val="0"/>
        <w:bidi w:val="0"/>
        <w:adjustRightInd/>
        <w:snapToGrid/>
        <w:spacing w:after="0" w:line="594" w:lineRule="exact"/>
        <w:ind w:firstLine="592"/>
        <w:textAlignment w:val="auto"/>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九、维生素K</w:t>
      </w:r>
      <w:r>
        <w:rPr>
          <w:rFonts w:hint="eastAsia" w:ascii="黑体" w:hAnsi="黑体" w:eastAsia="黑体" w:cs="黑体"/>
          <w:spacing w:val="0"/>
          <w:sz w:val="32"/>
          <w:szCs w:val="32"/>
          <w:vertAlign w:val="subscript"/>
          <w:lang w:val="en-US" w:eastAsia="zh-CN"/>
        </w:rPr>
        <w:t>1</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维生素K</w:t>
      </w:r>
      <w:r>
        <w:rPr>
          <w:rFonts w:hint="eastAsia" w:ascii="Times New Roman" w:hAnsi="Times New Roman" w:eastAsia="仿宋_GB2312" w:cs="Times New Roman"/>
          <w:sz w:val="32"/>
          <w:szCs w:val="32"/>
          <w:vertAlign w:val="subscript"/>
          <w:lang w:val="en-US" w:eastAsia="zh-CN"/>
        </w:rPr>
        <w:t>1</w:t>
      </w:r>
      <w:r>
        <w:rPr>
          <w:rFonts w:hint="eastAsia" w:ascii="Times New Roman" w:hAnsi="Times New Roman" w:eastAsia="仿宋_GB2312" w:cs="Times New Roman"/>
          <w:sz w:val="32"/>
          <w:szCs w:val="32"/>
          <w:lang w:val="en-US" w:eastAsia="zh-CN"/>
        </w:rPr>
        <w:t>是一种脂溶性维生素，是肝内合成凝血酶原的必需物质。维生素K</w:t>
      </w:r>
      <w:r>
        <w:rPr>
          <w:rFonts w:hint="eastAsia" w:ascii="Times New Roman" w:hAnsi="Times New Roman" w:eastAsia="仿宋_GB2312" w:cs="Times New Roman"/>
          <w:sz w:val="32"/>
          <w:szCs w:val="32"/>
          <w:vertAlign w:val="subscript"/>
          <w:lang w:val="en-US" w:eastAsia="zh-CN"/>
        </w:rPr>
        <w:t>1</w:t>
      </w:r>
      <w:r>
        <w:rPr>
          <w:rFonts w:hint="eastAsia" w:ascii="Times New Roman" w:hAnsi="Times New Roman" w:eastAsia="仿宋_GB2312" w:cs="Times New Roman"/>
          <w:sz w:val="32"/>
          <w:szCs w:val="32"/>
          <w:lang w:val="en-US" w:eastAsia="zh-CN"/>
        </w:rPr>
        <w:t>缺乏可能会造成凝血障碍。《</w:t>
      </w:r>
      <w:r>
        <w:rPr>
          <w:rFonts w:hint="default" w:ascii="Times New Roman" w:hAnsi="Times New Roman" w:eastAsia="仿宋_GB2312" w:cs="Times New Roman"/>
          <w:sz w:val="32"/>
          <w:szCs w:val="32"/>
          <w:lang w:val="en-US" w:eastAsia="zh-CN"/>
        </w:rPr>
        <w:t>食品安全国家标准</w:t>
      </w:r>
      <w:r>
        <w:rPr>
          <w:rFonts w:hint="eastAsia" w:ascii="Times New Roman" w:hAnsi="Times New Roman" w:eastAsia="仿宋_GB2312" w:cs="Times New Roman"/>
          <w:sz w:val="32"/>
          <w:szCs w:val="32"/>
          <w:lang w:val="en-US" w:eastAsia="zh-CN"/>
        </w:rPr>
        <w:t xml:space="preserve"> 辅食营养补充品》（GB 22570—2014）中规定，适用于6—60月龄的辅食营养素撒剂中维生素K</w:t>
      </w:r>
      <w:r>
        <w:rPr>
          <w:rFonts w:hint="eastAsia" w:ascii="Times New Roman" w:hAnsi="Times New Roman" w:eastAsia="仿宋_GB2312" w:cs="Times New Roman"/>
          <w:sz w:val="32"/>
          <w:szCs w:val="32"/>
          <w:vertAlign w:val="subscript"/>
          <w:lang w:val="en-US" w:eastAsia="zh-CN"/>
        </w:rPr>
        <w:t>1</w:t>
      </w:r>
      <w:r>
        <w:rPr>
          <w:rFonts w:hint="eastAsia" w:ascii="Times New Roman" w:hAnsi="Times New Roman" w:eastAsia="仿宋_GB2312" w:cs="Times New Roman"/>
          <w:sz w:val="32"/>
          <w:szCs w:val="32"/>
          <w:vertAlign w:val="baseline"/>
          <w:lang w:val="en-US" w:eastAsia="zh-CN"/>
        </w:rPr>
        <w:t>每日份含量应在4.5</w:t>
      </w:r>
      <w:r>
        <w:rPr>
          <w:rFonts w:hint="eastAsia" w:ascii="仿宋_GB2312" w:hAnsi="仿宋_GB2312" w:eastAsia="仿宋_GB2312" w:cs="仿宋_GB2312"/>
          <w:sz w:val="32"/>
          <w:szCs w:val="32"/>
          <w:lang w:eastAsia="zh-CN"/>
        </w:rPr>
        <w:t>—</w:t>
      </w:r>
      <w:r>
        <w:rPr>
          <w:rFonts w:hint="eastAsia" w:ascii="Times New Roman" w:hAnsi="Times New Roman" w:eastAsia="仿宋_GB2312" w:cs="Times New Roman"/>
          <w:sz w:val="32"/>
          <w:szCs w:val="32"/>
          <w:lang w:val="en-US" w:eastAsia="zh-CN"/>
        </w:rPr>
        <w:t>9.0</w:t>
      </w:r>
      <w:r>
        <w:rPr>
          <w:rFonts w:hint="default" w:ascii="Times New Roman" w:hAnsi="Times New Roman" w:eastAsia="仿宋_GB2312" w:cs="Times New Roman"/>
          <w:sz w:val="32"/>
          <w:szCs w:val="32"/>
          <w:lang w:val="en-US" w:eastAsia="zh-CN"/>
        </w:rPr>
        <w:t>μ</w:t>
      </w:r>
      <w:r>
        <w:rPr>
          <w:rFonts w:hint="default" w:ascii="Times New Roman" w:hAnsi="Times New Roman" w:eastAsia="仿宋_GB2312" w:cs="Times New Roman"/>
          <w:sz w:val="32"/>
          <w:szCs w:val="32"/>
        </w:rPr>
        <w:t>g</w:t>
      </w:r>
      <w:r>
        <w:rPr>
          <w:rFonts w:hint="eastAsia" w:ascii="Times New Roman" w:hAnsi="Times New Roman" w:eastAsia="仿宋_GB2312" w:cs="Times New Roman"/>
          <w:sz w:val="32"/>
          <w:szCs w:val="32"/>
          <w:lang w:val="en-US" w:eastAsia="zh-CN"/>
        </w:rPr>
        <w:t>范围内；</w:t>
      </w:r>
      <w:r>
        <w:rPr>
          <w:rFonts w:hint="default" w:ascii="Times New Roman" w:hAnsi="Times New Roman" w:eastAsia="仿宋_GB2312" w:cs="Times New Roman"/>
          <w:sz w:val="32"/>
        </w:rPr>
        <w:t>《食品安全国家标准 预包装特殊膳食用食品标签》（GB 13432</w:t>
      </w:r>
      <w:r>
        <w:rPr>
          <w:rFonts w:hint="eastAsia" w:ascii="Times New Roman" w:hAnsi="Times New Roman" w:eastAsia="仿宋_GB2312" w:cs="Times New Roman"/>
          <w:sz w:val="32"/>
          <w:lang w:eastAsia="zh-CN"/>
        </w:rPr>
        <w:t>—</w:t>
      </w:r>
      <w:r>
        <w:rPr>
          <w:rFonts w:hint="default" w:ascii="Times New Roman" w:hAnsi="Times New Roman" w:eastAsia="仿宋_GB2312" w:cs="Times New Roman"/>
          <w:sz w:val="32"/>
        </w:rPr>
        <w:t>2013）</w:t>
      </w:r>
      <w:r>
        <w:rPr>
          <w:rFonts w:hint="eastAsia" w:ascii="Times New Roman" w:hAnsi="Times New Roman" w:eastAsia="仿宋_GB2312" w:cs="Times New Roman"/>
          <w:sz w:val="32"/>
          <w:lang w:val="en-US" w:eastAsia="zh-CN"/>
        </w:rPr>
        <w:t>中</w:t>
      </w:r>
      <w:r>
        <w:rPr>
          <w:rFonts w:hint="default" w:ascii="Times New Roman" w:hAnsi="Times New Roman" w:eastAsia="仿宋_GB2312" w:cs="Times New Roman"/>
          <w:sz w:val="32"/>
        </w:rPr>
        <w:t>规定，在产品保质期内，能量和营养成分的实际含量不应低于标示值的80%。辅食营养素补充食品、辅食营养素补充片、辅食营养素撒剂中维生素</w:t>
      </w:r>
      <w:r>
        <w:rPr>
          <w:rFonts w:hint="eastAsia" w:ascii="Times New Roman" w:hAnsi="Times New Roman" w:eastAsia="仿宋_GB2312" w:cs="Times New Roman"/>
          <w:sz w:val="32"/>
          <w:szCs w:val="32"/>
          <w:lang w:val="en-US" w:eastAsia="zh-CN"/>
        </w:rPr>
        <w:t>K</w:t>
      </w:r>
      <w:r>
        <w:rPr>
          <w:rFonts w:hint="eastAsia" w:ascii="Times New Roman" w:hAnsi="Times New Roman" w:eastAsia="仿宋_GB2312" w:cs="Times New Roman"/>
          <w:sz w:val="32"/>
          <w:szCs w:val="32"/>
          <w:vertAlign w:val="subscript"/>
          <w:lang w:val="en-US" w:eastAsia="zh-CN"/>
        </w:rPr>
        <w:t>1</w:t>
      </w:r>
      <w:r>
        <w:rPr>
          <w:rFonts w:hint="eastAsia" w:ascii="Times New Roman" w:hAnsi="Times New Roman" w:eastAsia="仿宋_GB2312" w:cs="Times New Roman"/>
          <w:sz w:val="32"/>
          <w:lang w:val="en-US" w:eastAsia="zh-CN"/>
        </w:rPr>
        <w:t>含量</w:t>
      </w:r>
      <w:r>
        <w:rPr>
          <w:rFonts w:hint="default" w:ascii="Times New Roman" w:hAnsi="Times New Roman" w:eastAsia="仿宋_GB2312" w:cs="Times New Roman"/>
          <w:sz w:val="32"/>
        </w:rPr>
        <w:t>不达标的原因，</w:t>
      </w:r>
      <w:r>
        <w:rPr>
          <w:rFonts w:hint="eastAsia" w:ascii="Times New Roman" w:hAnsi="Times New Roman" w:eastAsia="仿宋_GB2312" w:cs="Times New Roman"/>
          <w:sz w:val="32"/>
          <w:szCs w:val="32"/>
          <w:lang w:val="en-US" w:eastAsia="zh-CN"/>
        </w:rPr>
        <w:t>可能是</w:t>
      </w:r>
      <w:r>
        <w:rPr>
          <w:rFonts w:hint="default" w:ascii="Times New Roman" w:hAnsi="Times New Roman" w:eastAsia="仿宋_GB2312" w:cs="Times New Roman"/>
          <w:sz w:val="32"/>
          <w:szCs w:val="32"/>
        </w:rPr>
        <w:t>原辅料用食品营养强化剂不</w:t>
      </w:r>
      <w:r>
        <w:rPr>
          <w:rFonts w:hint="default" w:ascii="Times New Roman" w:hAnsi="Times New Roman" w:eastAsia="仿宋_GB2312" w:cs="Times New Roman"/>
          <w:sz w:val="32"/>
          <w:szCs w:val="32"/>
          <w:lang w:val="en-US" w:eastAsia="zh-CN"/>
        </w:rPr>
        <w:t>符合质量要求</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也</w:t>
      </w:r>
      <w:r>
        <w:rPr>
          <w:rFonts w:hint="default" w:ascii="Times New Roman" w:hAnsi="Times New Roman" w:eastAsia="仿宋_GB2312" w:cs="Times New Roman"/>
          <w:sz w:val="32"/>
          <w:szCs w:val="32"/>
        </w:rPr>
        <w:t>可能是生产加工过程中搅拌不均匀</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还可能是</w:t>
      </w:r>
      <w:r>
        <w:rPr>
          <w:rFonts w:hint="default" w:ascii="Times New Roman" w:hAnsi="Times New Roman" w:eastAsia="仿宋_GB2312" w:cs="Times New Roman"/>
          <w:sz w:val="32"/>
          <w:szCs w:val="32"/>
        </w:rPr>
        <w:t>在加工或储存过程中损失。</w:t>
      </w:r>
    </w:p>
    <w:p>
      <w:pPr>
        <w:adjustRightInd/>
        <w:spacing w:line="594" w:lineRule="exact"/>
        <w:ind w:firstLine="640" w:firstLineChars="200"/>
        <w:rPr>
          <w:rFonts w:hint="default" w:ascii="Times New Roman" w:hAnsi="Times New Roman" w:eastAsia="黑体" w:cs="Times New Roman"/>
          <w:spacing w:val="0"/>
          <w:sz w:val="32"/>
          <w:szCs w:val="32"/>
          <w:lang w:val="en-US" w:eastAsia="zh-CN"/>
        </w:rPr>
      </w:pPr>
      <w:r>
        <w:rPr>
          <w:rFonts w:hint="eastAsia" w:ascii="黑体" w:hAnsi="黑体" w:eastAsia="黑体" w:cs="黑体"/>
          <w:spacing w:val="0"/>
          <w:sz w:val="32"/>
          <w:szCs w:val="32"/>
          <w:lang w:val="en-US" w:eastAsia="zh-CN"/>
        </w:rPr>
        <w:t>十、维生素A</w:t>
      </w:r>
    </w:p>
    <w:p>
      <w:pPr>
        <w:pStyle w:val="2"/>
        <w:keepNext w:val="0"/>
        <w:keepLines w:val="0"/>
        <w:pageBreakBefore w:val="0"/>
        <w:widowControl w:val="0"/>
        <w:kinsoku/>
        <w:wordWrap/>
        <w:overflowPunct/>
        <w:topLinePunct w:val="0"/>
        <w:bidi w:val="0"/>
        <w:adjustRightInd/>
        <w:snapToGrid/>
        <w:spacing w:after="0" w:line="594" w:lineRule="exact"/>
        <w:ind w:firstLine="592"/>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维生素A是</w:t>
      </w:r>
      <w:r>
        <w:rPr>
          <w:rFonts w:hint="eastAsia" w:ascii="Times New Roman" w:hAnsi="Times New Roman" w:eastAsia="仿宋_GB2312" w:cs="Times New Roman"/>
          <w:sz w:val="32"/>
          <w:szCs w:val="32"/>
          <w:lang w:val="en-US" w:eastAsia="zh-CN"/>
        </w:rPr>
        <w:t>一种</w:t>
      </w:r>
      <w:r>
        <w:rPr>
          <w:rFonts w:hint="default" w:ascii="Times New Roman" w:hAnsi="Times New Roman" w:eastAsia="仿宋_GB2312" w:cs="Times New Roman"/>
          <w:sz w:val="32"/>
          <w:szCs w:val="32"/>
          <w:lang w:val="en-US" w:eastAsia="zh-CN"/>
        </w:rPr>
        <w:t>脂溶性维生素</w:t>
      </w:r>
      <w:r>
        <w:rPr>
          <w:rFonts w:hint="eastAsia" w:ascii="Times New Roman" w:hAnsi="Times New Roman" w:eastAsia="仿宋_GB2312" w:cs="Times New Roman"/>
          <w:sz w:val="32"/>
          <w:szCs w:val="32"/>
          <w:lang w:val="en-US" w:eastAsia="zh-CN"/>
        </w:rPr>
        <w:t>，在人体代谢过程中发挥重要作用</w:t>
      </w:r>
      <w:r>
        <w:rPr>
          <w:rFonts w:hint="default" w:ascii="Times New Roman" w:hAnsi="Times New Roman" w:eastAsia="仿宋_GB2312" w:cs="Times New Roman"/>
          <w:sz w:val="32"/>
          <w:szCs w:val="32"/>
          <w:lang w:val="en-US" w:eastAsia="zh-CN"/>
        </w:rPr>
        <w:t>。维生素A缺乏可能引起夜盲症、干眼症等眼部症状，还可能会导致食欲减退、免疫功能低下。《食品安全国家标准 运动营养食品通则》（GB 24154</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2015）</w:t>
      </w:r>
      <w:r>
        <w:rPr>
          <w:rFonts w:hint="eastAsia" w:ascii="Times New Roman" w:hAnsi="Times New Roman" w:eastAsia="仿宋_GB2312" w:cs="Times New Roman"/>
          <w:sz w:val="32"/>
          <w:szCs w:val="32"/>
        </w:rPr>
        <w:t>中规定，</w:t>
      </w:r>
      <w:r>
        <w:rPr>
          <w:rFonts w:hint="eastAsia" w:ascii="Times New Roman" w:hAnsi="Times New Roman" w:eastAsia="仿宋_GB2312" w:cs="Times New Roman"/>
          <w:sz w:val="32"/>
          <w:szCs w:val="32"/>
          <w:lang w:val="en-US" w:eastAsia="zh-CN"/>
        </w:rPr>
        <w:t>运动营养食品中</w:t>
      </w:r>
      <w:r>
        <w:rPr>
          <w:rFonts w:hint="default" w:ascii="Times New Roman" w:hAnsi="Times New Roman" w:eastAsia="仿宋_GB2312" w:cs="Times New Roman"/>
          <w:sz w:val="32"/>
        </w:rPr>
        <w:t>维生素</w:t>
      </w:r>
      <w:r>
        <w:rPr>
          <w:rFonts w:hint="eastAsia" w:ascii="Times New Roman" w:hAnsi="Times New Roman" w:eastAsia="仿宋_GB2312" w:cs="Times New Roman"/>
          <w:sz w:val="32"/>
          <w:lang w:val="en-US" w:eastAsia="zh-CN"/>
        </w:rPr>
        <w:t>A</w:t>
      </w:r>
      <w:r>
        <w:rPr>
          <w:rFonts w:hint="eastAsia" w:ascii="Times New Roman" w:hAnsi="Times New Roman" w:eastAsia="仿宋_GB2312" w:cs="Times New Roman"/>
          <w:sz w:val="32"/>
          <w:szCs w:val="32"/>
          <w:lang w:val="en-US" w:eastAsia="zh-CN"/>
        </w:rPr>
        <w:t>含量</w:t>
      </w:r>
      <w:r>
        <w:rPr>
          <w:rFonts w:hint="default" w:ascii="Times New Roman" w:hAnsi="Times New Roman" w:eastAsia="仿宋_GB2312" w:cs="Times New Roman"/>
          <w:sz w:val="32"/>
          <w:szCs w:val="32"/>
          <w:lang w:val="en-US" w:eastAsia="zh-CN"/>
        </w:rPr>
        <w:t>（以每日计）</w:t>
      </w:r>
      <w:r>
        <w:rPr>
          <w:rFonts w:hint="default" w:ascii="Times New Roman" w:hAnsi="Times New Roman" w:eastAsia="仿宋_GB2312" w:cs="Times New Roman"/>
          <w:sz w:val="32"/>
          <w:szCs w:val="32"/>
        </w:rPr>
        <w:t>应在</w:t>
      </w:r>
      <w:r>
        <w:rPr>
          <w:rFonts w:hint="eastAsia" w:ascii="Times New Roman" w:hAnsi="Times New Roman" w:eastAsia="仿宋_GB2312" w:cs="Times New Roman"/>
          <w:sz w:val="32"/>
          <w:szCs w:val="32"/>
          <w:lang w:val="en-US" w:eastAsia="zh-CN"/>
        </w:rPr>
        <w:t>120</w:t>
      </w:r>
      <w:r>
        <w:rPr>
          <w:rFonts w:hint="eastAsia" w:ascii="仿宋_GB2312" w:hAnsi="仿宋_GB2312" w:eastAsia="仿宋_GB2312" w:cs="仿宋_GB2312"/>
          <w:sz w:val="32"/>
          <w:szCs w:val="32"/>
          <w:lang w:eastAsia="zh-CN"/>
        </w:rPr>
        <w:t>—</w:t>
      </w:r>
      <w:r>
        <w:rPr>
          <w:rFonts w:hint="eastAsia" w:ascii="Times New Roman" w:hAnsi="Times New Roman" w:eastAsia="仿宋_GB2312" w:cs="Times New Roman"/>
          <w:sz w:val="32"/>
          <w:szCs w:val="32"/>
          <w:lang w:val="en-US" w:eastAsia="zh-CN"/>
        </w:rPr>
        <w:t>375</w:t>
      </w:r>
      <w:r>
        <w:rPr>
          <w:rFonts w:hint="default" w:ascii="Times New Roman" w:hAnsi="Times New Roman" w:eastAsia="仿宋_GB2312" w:cs="Times New Roman"/>
          <w:sz w:val="32"/>
          <w:szCs w:val="32"/>
          <w:lang w:val="en-US" w:eastAsia="zh-CN"/>
        </w:rPr>
        <w:t>μ</w:t>
      </w:r>
      <w:r>
        <w:rPr>
          <w:rFonts w:hint="default" w:ascii="Times New Roman" w:hAnsi="Times New Roman" w:eastAsia="仿宋_GB2312" w:cs="Times New Roman"/>
          <w:sz w:val="32"/>
          <w:szCs w:val="32"/>
        </w:rPr>
        <w:t>g</w:t>
      </w:r>
      <w:r>
        <w:rPr>
          <w:rFonts w:hint="eastAsia" w:ascii="Times New Roman" w:hAnsi="Times New Roman" w:eastAsia="仿宋_GB2312" w:cs="Times New Roman"/>
          <w:sz w:val="32"/>
          <w:szCs w:val="32"/>
          <w:lang w:val="en-US" w:eastAsia="zh-CN"/>
        </w:rPr>
        <w:t>范围内；</w:t>
      </w:r>
      <w:r>
        <w:rPr>
          <w:rFonts w:hint="default" w:ascii="Times New Roman" w:hAnsi="Times New Roman" w:eastAsia="仿宋_GB2312" w:cs="Times New Roman"/>
          <w:sz w:val="32"/>
          <w:szCs w:val="32"/>
        </w:rPr>
        <w:t>《食品安全国家标准 预包装特殊膳食用食品标签》（GB 13432</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2013）中规定，在产品保质期内，能量和营养成分的实际含量不应低于标示值的80%</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运动营养食品中</w:t>
      </w:r>
      <w:r>
        <w:rPr>
          <w:rFonts w:hint="default" w:ascii="Times New Roman" w:hAnsi="Times New Roman" w:eastAsia="仿宋_GB2312" w:cs="Times New Roman"/>
          <w:sz w:val="32"/>
          <w:szCs w:val="32"/>
          <w:lang w:val="en-US" w:eastAsia="zh-CN"/>
        </w:rPr>
        <w:t>维生素A含量不达标的原因，可能是</w:t>
      </w:r>
      <w:r>
        <w:rPr>
          <w:rFonts w:hint="default" w:ascii="Times New Roman" w:hAnsi="Times New Roman" w:eastAsia="仿宋_GB2312" w:cs="Times New Roman"/>
          <w:sz w:val="32"/>
          <w:szCs w:val="32"/>
        </w:rPr>
        <w:t>原辅料用食品营养强化剂不</w:t>
      </w:r>
      <w:r>
        <w:rPr>
          <w:rFonts w:hint="default" w:ascii="Times New Roman" w:hAnsi="Times New Roman" w:eastAsia="仿宋_GB2312" w:cs="Times New Roman"/>
          <w:sz w:val="32"/>
          <w:szCs w:val="32"/>
          <w:lang w:eastAsia="zh-CN"/>
        </w:rPr>
        <w:t>符合</w:t>
      </w:r>
      <w:r>
        <w:rPr>
          <w:rFonts w:hint="default" w:ascii="Times New Roman" w:hAnsi="Times New Roman" w:eastAsia="仿宋_GB2312" w:cs="Times New Roman"/>
          <w:sz w:val="32"/>
          <w:szCs w:val="32"/>
        </w:rPr>
        <w:t>质量要求</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也</w:t>
      </w:r>
      <w:r>
        <w:rPr>
          <w:rFonts w:hint="default" w:ascii="Times New Roman" w:hAnsi="Times New Roman" w:eastAsia="仿宋_GB2312" w:cs="Times New Roman"/>
          <w:sz w:val="32"/>
          <w:szCs w:val="32"/>
        </w:rPr>
        <w:t>可能是生产加工过程中搅拌不均匀</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还可能是</w:t>
      </w:r>
      <w:r>
        <w:rPr>
          <w:rFonts w:hint="default" w:ascii="Times New Roman" w:hAnsi="Times New Roman" w:eastAsia="仿宋_GB2312" w:cs="Times New Roman"/>
          <w:sz w:val="32"/>
          <w:szCs w:val="32"/>
        </w:rPr>
        <w:t>在加工或储存过程中损失。</w:t>
      </w:r>
    </w:p>
    <w:p>
      <w:pPr>
        <w:pStyle w:val="2"/>
        <w:keepNext w:val="0"/>
        <w:keepLines w:val="0"/>
        <w:pageBreakBefore w:val="0"/>
        <w:widowControl w:val="0"/>
        <w:kinsoku/>
        <w:wordWrap/>
        <w:overflowPunct/>
        <w:topLinePunct w:val="0"/>
        <w:bidi w:val="0"/>
        <w:adjustRightInd/>
        <w:snapToGrid/>
        <w:spacing w:after="0" w:line="594" w:lineRule="exact"/>
        <w:ind w:firstLine="592"/>
        <w:textAlignment w:val="auto"/>
        <w:rPr>
          <w:rFonts w:hint="eastAsia" w:ascii="Times New Roman" w:hAnsi="Times New Roman" w:eastAsia="黑体" w:cs="Times New Roman"/>
          <w:spacing w:val="0"/>
          <w:kern w:val="2"/>
          <w:sz w:val="32"/>
          <w:szCs w:val="32"/>
          <w:lang w:val="en-US" w:eastAsia="zh-CN" w:bidi="ar-SA"/>
        </w:rPr>
      </w:pPr>
      <w:r>
        <w:rPr>
          <w:rFonts w:hint="eastAsia" w:ascii="黑体" w:hAnsi="黑体" w:eastAsia="黑体" w:cs="黑体"/>
          <w:spacing w:val="0"/>
          <w:kern w:val="2"/>
          <w:sz w:val="32"/>
          <w:szCs w:val="32"/>
          <w:lang w:val="en-US" w:eastAsia="zh-CN" w:bidi="ar-SA"/>
        </w:rPr>
        <w:t>十一、维生素E</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黑体" w:hAnsi="黑体" w:eastAsia="黑体" w:cs="黑体"/>
          <w:sz w:val="32"/>
          <w:szCs w:val="32"/>
          <w:lang w:val="en-US" w:eastAsia="zh-CN"/>
        </w:rPr>
      </w:pPr>
      <w:r>
        <w:rPr>
          <w:rFonts w:hint="default" w:ascii="Times New Roman" w:hAnsi="Times New Roman" w:eastAsia="仿宋_GB2312" w:cs="Times New Roman"/>
          <w:sz w:val="32"/>
          <w:szCs w:val="32"/>
          <w:lang w:val="en-US" w:eastAsia="zh-CN"/>
        </w:rPr>
        <w:t>维生素E又名生育酚，是一种重要的脂溶性抗氧化剂</w:t>
      </w:r>
      <w:r>
        <w:rPr>
          <w:rFonts w:hint="eastAsia" w:ascii="Times New Roman" w:hAnsi="Times New Roman" w:eastAsia="仿宋_GB2312" w:cs="Times New Roman"/>
          <w:sz w:val="32"/>
          <w:szCs w:val="32"/>
          <w:lang w:val="en-US" w:eastAsia="zh-CN"/>
        </w:rPr>
        <w:t>。维生素E</w:t>
      </w:r>
      <w:r>
        <w:rPr>
          <w:rFonts w:hint="default" w:ascii="Times New Roman" w:hAnsi="Times New Roman" w:eastAsia="仿宋_GB2312" w:cs="Times New Roman"/>
          <w:sz w:val="32"/>
          <w:szCs w:val="32"/>
          <w:lang w:val="en-US" w:eastAsia="zh-CN"/>
        </w:rPr>
        <w:t>缺乏</w:t>
      </w:r>
      <w:r>
        <w:rPr>
          <w:rFonts w:hint="eastAsia" w:ascii="Times New Roman" w:hAnsi="Times New Roman" w:eastAsia="仿宋_GB2312" w:cs="Times New Roman"/>
          <w:sz w:val="32"/>
          <w:szCs w:val="32"/>
          <w:lang w:val="en-US" w:eastAsia="zh-CN"/>
        </w:rPr>
        <w:t>可能会导致神经肌肉障碍等</w:t>
      </w:r>
      <w:r>
        <w:rPr>
          <w:rFonts w:hint="default" w:ascii="Times New Roman" w:hAnsi="Times New Roman" w:eastAsia="仿宋_GB2312" w:cs="Times New Roman"/>
          <w:sz w:val="32"/>
          <w:szCs w:val="32"/>
          <w:lang w:val="en-US" w:eastAsia="zh-CN"/>
        </w:rPr>
        <w:t>。《食品安全国家标准 运动营养食品通则》（GB 24154</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2015）</w:t>
      </w:r>
      <w:r>
        <w:rPr>
          <w:rFonts w:hint="eastAsia" w:ascii="Times New Roman" w:hAnsi="Times New Roman" w:eastAsia="仿宋_GB2312" w:cs="Times New Roman"/>
          <w:sz w:val="32"/>
          <w:szCs w:val="32"/>
        </w:rPr>
        <w:t>中规定，</w:t>
      </w:r>
      <w:r>
        <w:rPr>
          <w:rFonts w:hint="eastAsia" w:ascii="Times New Roman" w:hAnsi="Times New Roman" w:eastAsia="仿宋_GB2312" w:cs="Times New Roman"/>
          <w:sz w:val="32"/>
          <w:szCs w:val="32"/>
          <w:lang w:val="en-US" w:eastAsia="zh-CN"/>
        </w:rPr>
        <w:t>运动营养食品中</w:t>
      </w:r>
      <w:r>
        <w:rPr>
          <w:rFonts w:hint="default" w:ascii="Times New Roman" w:hAnsi="Times New Roman" w:eastAsia="仿宋_GB2312" w:cs="Times New Roman"/>
          <w:sz w:val="32"/>
        </w:rPr>
        <w:t>维生素</w:t>
      </w:r>
      <w:r>
        <w:rPr>
          <w:rFonts w:hint="eastAsia" w:ascii="Times New Roman" w:hAnsi="Times New Roman" w:eastAsia="仿宋_GB2312" w:cs="Times New Roman"/>
          <w:sz w:val="32"/>
          <w:lang w:val="en-US" w:eastAsia="zh-CN"/>
        </w:rPr>
        <w:t>E</w:t>
      </w:r>
      <w:r>
        <w:rPr>
          <w:rFonts w:hint="eastAsia" w:ascii="Times New Roman" w:hAnsi="Times New Roman" w:eastAsia="仿宋_GB2312" w:cs="Times New Roman"/>
          <w:sz w:val="32"/>
          <w:szCs w:val="32"/>
          <w:lang w:val="en-US" w:eastAsia="zh-CN"/>
        </w:rPr>
        <w:t>含量</w:t>
      </w:r>
      <w:r>
        <w:rPr>
          <w:rFonts w:hint="default" w:ascii="Times New Roman" w:hAnsi="Times New Roman" w:eastAsia="仿宋_GB2312" w:cs="Times New Roman"/>
          <w:sz w:val="32"/>
          <w:szCs w:val="32"/>
          <w:lang w:val="en-US" w:eastAsia="zh-CN"/>
        </w:rPr>
        <w:t>（以每日计）</w:t>
      </w:r>
      <w:r>
        <w:rPr>
          <w:rFonts w:hint="default" w:ascii="Times New Roman" w:hAnsi="Times New Roman" w:eastAsia="仿宋_GB2312" w:cs="Times New Roman"/>
          <w:sz w:val="32"/>
          <w:szCs w:val="32"/>
        </w:rPr>
        <w:t>应在</w:t>
      </w:r>
      <w:r>
        <w:rPr>
          <w:rFonts w:hint="eastAsia" w:ascii="Times New Roman" w:hAnsi="Times New Roman" w:eastAsia="仿宋_GB2312" w:cs="Times New Roman"/>
          <w:sz w:val="32"/>
          <w:szCs w:val="32"/>
          <w:lang w:val="en-US" w:eastAsia="zh-CN"/>
        </w:rPr>
        <w:t>2.1</w:t>
      </w:r>
      <w:r>
        <w:rPr>
          <w:rFonts w:hint="eastAsia" w:ascii="仿宋_GB2312" w:hAnsi="仿宋_GB2312" w:eastAsia="仿宋_GB2312" w:cs="仿宋_GB2312"/>
          <w:sz w:val="32"/>
          <w:szCs w:val="32"/>
          <w:lang w:eastAsia="zh-CN"/>
        </w:rPr>
        <w:t>—</w:t>
      </w:r>
      <w:r>
        <w:rPr>
          <w:rFonts w:hint="eastAsia" w:ascii="Times New Roman" w:hAnsi="Times New Roman" w:eastAsia="仿宋_GB2312" w:cs="Times New Roman"/>
          <w:sz w:val="32"/>
          <w:szCs w:val="32"/>
          <w:lang w:val="en-US" w:eastAsia="zh-CN"/>
        </w:rPr>
        <w:t>20m</w:t>
      </w:r>
      <w:r>
        <w:rPr>
          <w:rFonts w:hint="default" w:ascii="Times New Roman" w:hAnsi="Times New Roman" w:eastAsia="仿宋_GB2312" w:cs="Times New Roman"/>
          <w:sz w:val="32"/>
          <w:szCs w:val="32"/>
          <w:lang w:val="en-US" w:eastAsia="zh-CN"/>
        </w:rPr>
        <w:t>g</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α</w:t>
      </w:r>
      <w:r>
        <w:rPr>
          <w:rFonts w:hint="eastAsia" w:ascii="Times New Roman" w:hAnsi="Times New Roman" w:eastAsia="仿宋_GB2312" w:cs="Times New Roman"/>
          <w:sz w:val="32"/>
          <w:szCs w:val="32"/>
          <w:lang w:val="en-US" w:eastAsia="zh-CN"/>
        </w:rPr>
        <w:t>-TE</w:t>
      </w:r>
      <w:r>
        <w:rPr>
          <w:rFonts w:hint="default" w:ascii="Times New Roman" w:hAnsi="Times New Roman" w:eastAsia="仿宋_GB2312" w:cs="Times New Roman"/>
          <w:sz w:val="32"/>
          <w:szCs w:val="32"/>
        </w:rPr>
        <w:t>范围内</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rPr>
        <w:t>《食品安全国家标准 预包装特殊膳食用食品标签》（GB 13432</w:t>
      </w:r>
      <w:r>
        <w:rPr>
          <w:rFonts w:hint="eastAsia" w:ascii="Times New Roman" w:hAnsi="Times New Roman" w:eastAsia="仿宋_GB2312" w:cs="Times New Roman"/>
          <w:sz w:val="32"/>
          <w:lang w:eastAsia="zh-CN"/>
        </w:rPr>
        <w:t>—</w:t>
      </w:r>
      <w:r>
        <w:rPr>
          <w:rFonts w:hint="default" w:ascii="Times New Roman" w:hAnsi="Times New Roman" w:eastAsia="仿宋_GB2312" w:cs="Times New Roman"/>
          <w:sz w:val="32"/>
        </w:rPr>
        <w:t>2013）</w:t>
      </w:r>
      <w:r>
        <w:rPr>
          <w:rFonts w:hint="eastAsia" w:ascii="Times New Roman" w:hAnsi="Times New Roman" w:eastAsia="仿宋_GB2312" w:cs="Times New Roman"/>
          <w:sz w:val="32"/>
          <w:lang w:val="en-US" w:eastAsia="zh-CN"/>
        </w:rPr>
        <w:t>中</w:t>
      </w:r>
      <w:r>
        <w:rPr>
          <w:rFonts w:hint="default" w:ascii="Times New Roman" w:hAnsi="Times New Roman" w:eastAsia="仿宋_GB2312" w:cs="Times New Roman"/>
          <w:sz w:val="32"/>
        </w:rPr>
        <w:t>规定，在产品保质期内，能量和营养成分的实际含量不应低于标示值的80%</w:t>
      </w:r>
      <w:r>
        <w:rPr>
          <w:rFonts w:hint="default" w:ascii="Times New Roman" w:hAnsi="Times New Roman" w:eastAsia="仿宋_GB2312" w:cs="Times New Roman"/>
          <w:b w:val="0"/>
          <w:bCs w:val="0"/>
          <w:sz w:val="32"/>
          <w:szCs w:val="32"/>
          <w:lang w:val="en-US" w:eastAsia="zh-CN"/>
        </w:rPr>
        <w:t>。</w:t>
      </w:r>
      <w:r>
        <w:rPr>
          <w:rFonts w:hint="eastAsia" w:ascii="Times New Roman" w:hAnsi="Times New Roman" w:eastAsia="仿宋_GB2312" w:cs="Times New Roman"/>
          <w:sz w:val="32"/>
          <w:szCs w:val="32"/>
          <w:lang w:val="en-US" w:eastAsia="zh-CN"/>
        </w:rPr>
        <w:t>运动营养食品中</w:t>
      </w:r>
      <w:r>
        <w:rPr>
          <w:rFonts w:hint="default" w:ascii="Times New Roman" w:hAnsi="Times New Roman" w:eastAsia="仿宋_GB2312" w:cs="Times New Roman"/>
          <w:sz w:val="32"/>
          <w:szCs w:val="32"/>
          <w:lang w:val="en-US" w:eastAsia="zh-CN"/>
        </w:rPr>
        <w:t>维生素E含量不达标的原因，</w:t>
      </w:r>
      <w:r>
        <w:rPr>
          <w:rFonts w:hint="eastAsia" w:ascii="Times New Roman" w:hAnsi="Times New Roman" w:eastAsia="仿宋_GB2312" w:cs="Times New Roman"/>
          <w:sz w:val="32"/>
          <w:szCs w:val="32"/>
          <w:lang w:val="en-US" w:eastAsia="zh-CN"/>
        </w:rPr>
        <w:t>可能是</w:t>
      </w:r>
      <w:r>
        <w:rPr>
          <w:rFonts w:hint="default" w:ascii="Times New Roman" w:hAnsi="Times New Roman" w:eastAsia="仿宋_GB2312" w:cs="Times New Roman"/>
          <w:sz w:val="32"/>
          <w:szCs w:val="32"/>
        </w:rPr>
        <w:t>原辅料用食品营养强化剂不</w:t>
      </w:r>
      <w:r>
        <w:rPr>
          <w:rFonts w:hint="default" w:ascii="Times New Roman" w:hAnsi="Times New Roman" w:eastAsia="仿宋_GB2312" w:cs="Times New Roman"/>
          <w:sz w:val="32"/>
          <w:szCs w:val="32"/>
          <w:lang w:val="en-US" w:eastAsia="zh-CN"/>
        </w:rPr>
        <w:t>符合质量要求</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也</w:t>
      </w:r>
      <w:r>
        <w:rPr>
          <w:rFonts w:hint="default" w:ascii="Times New Roman" w:hAnsi="Times New Roman" w:eastAsia="仿宋_GB2312" w:cs="Times New Roman"/>
          <w:sz w:val="32"/>
          <w:szCs w:val="32"/>
        </w:rPr>
        <w:t>可能是生产加工过程中搅拌不均匀</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还可能是</w:t>
      </w:r>
      <w:r>
        <w:rPr>
          <w:rFonts w:hint="default" w:ascii="Times New Roman" w:hAnsi="Times New Roman" w:eastAsia="仿宋_GB2312" w:cs="Times New Roman"/>
          <w:sz w:val="32"/>
          <w:szCs w:val="32"/>
        </w:rPr>
        <w:t>在加工或储存过程中损失。</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黑体" w:cs="Times New Roman"/>
          <w:spacing w:val="0"/>
          <w:sz w:val="32"/>
          <w:szCs w:val="32"/>
          <w:lang w:val="en-US" w:eastAsia="zh-CN"/>
        </w:rPr>
      </w:pPr>
      <w:r>
        <w:rPr>
          <w:rFonts w:hint="eastAsia" w:ascii="Times New Roman" w:hAnsi="Times New Roman" w:eastAsia="黑体" w:cs="Times New Roman"/>
          <w:spacing w:val="0"/>
          <w:sz w:val="32"/>
          <w:szCs w:val="32"/>
          <w:lang w:val="en-US" w:eastAsia="zh-CN"/>
        </w:rPr>
        <w:t>十二、钠</w:t>
      </w:r>
    </w:p>
    <w:p>
      <w:pPr>
        <w:spacing w:line="594" w:lineRule="exact"/>
        <w:ind w:firstLine="640" w:firstLineChars="200"/>
        <w:jc w:val="both"/>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钠是人体必需的</w:t>
      </w:r>
      <w:r>
        <w:rPr>
          <w:rFonts w:hint="eastAsia" w:ascii="Times New Roman" w:hAnsi="Times New Roman" w:eastAsia="仿宋_GB2312" w:cs="Times New Roman"/>
          <w:sz w:val="32"/>
          <w:szCs w:val="32"/>
          <w:lang w:val="en-US" w:eastAsia="zh-CN"/>
        </w:rPr>
        <w:t>常量元素</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钠离子在体内有助于维持渗透压和酸碱平衡，协助生理功能正常运作</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钠缺乏可能会导致食欲减退、倦怠、恶心呕吐、血压降低等。</w:t>
      </w:r>
      <w:r>
        <w:rPr>
          <w:rFonts w:hint="default" w:ascii="Times New Roman" w:hAnsi="Times New Roman" w:eastAsia="仿宋_GB2312" w:cs="Times New Roman"/>
          <w:sz w:val="32"/>
          <w:szCs w:val="32"/>
          <w:lang w:val="en-US" w:eastAsia="zh-CN"/>
        </w:rPr>
        <w:t>《食品安全国家标准 运动营养食品通则》（GB 24154</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2015）</w:t>
      </w:r>
      <w:r>
        <w:rPr>
          <w:rFonts w:hint="eastAsia" w:ascii="Times New Roman" w:hAnsi="Times New Roman" w:eastAsia="仿宋_GB2312" w:cs="Times New Roman"/>
          <w:sz w:val="32"/>
          <w:szCs w:val="32"/>
        </w:rPr>
        <w:t>中规定，</w:t>
      </w:r>
      <w:r>
        <w:rPr>
          <w:rFonts w:hint="eastAsia" w:ascii="Times New Roman" w:hAnsi="Times New Roman" w:eastAsia="仿宋_GB2312" w:cs="Times New Roman"/>
          <w:sz w:val="32"/>
          <w:szCs w:val="32"/>
          <w:lang w:val="en-US" w:eastAsia="zh-CN"/>
        </w:rPr>
        <w:t>没有特别添加钠营养素的运动营养食品中</w:t>
      </w:r>
      <w:r>
        <w:rPr>
          <w:rFonts w:hint="eastAsia" w:ascii="Times New Roman" w:hAnsi="Times New Roman" w:eastAsia="仿宋_GB2312" w:cs="Times New Roman"/>
          <w:sz w:val="32"/>
          <w:szCs w:val="32"/>
        </w:rPr>
        <w:t>钠</w:t>
      </w:r>
      <w:r>
        <w:rPr>
          <w:rFonts w:hint="eastAsia" w:ascii="Times New Roman" w:hAnsi="Times New Roman" w:eastAsia="仿宋_GB2312" w:cs="Times New Roman"/>
          <w:sz w:val="32"/>
          <w:szCs w:val="32"/>
          <w:lang w:eastAsia="zh-CN"/>
        </w:rPr>
        <w:t>的</w:t>
      </w:r>
      <w:r>
        <w:rPr>
          <w:rFonts w:hint="eastAsia" w:ascii="Times New Roman" w:hAnsi="Times New Roman" w:eastAsia="仿宋_GB2312" w:cs="Times New Roman"/>
          <w:sz w:val="32"/>
          <w:szCs w:val="32"/>
          <w:lang w:val="en-US" w:eastAsia="zh-CN"/>
        </w:rPr>
        <w:t>最大含量</w:t>
      </w:r>
      <w:r>
        <w:rPr>
          <w:rFonts w:hint="default" w:ascii="Times New Roman" w:hAnsi="Times New Roman" w:eastAsia="仿宋_GB2312" w:cs="Times New Roman"/>
          <w:sz w:val="32"/>
          <w:szCs w:val="32"/>
          <w:lang w:val="en-US" w:eastAsia="zh-CN"/>
        </w:rPr>
        <w:t>（以每日计）</w:t>
      </w:r>
      <w:r>
        <w:rPr>
          <w:rFonts w:hint="eastAsia" w:ascii="Times New Roman" w:hAnsi="Times New Roman" w:eastAsia="仿宋_GB2312" w:cs="Times New Roman"/>
          <w:sz w:val="32"/>
          <w:szCs w:val="32"/>
        </w:rPr>
        <w:t>为</w:t>
      </w:r>
      <w:r>
        <w:rPr>
          <w:rFonts w:hint="eastAsia" w:ascii="Times New Roman" w:hAnsi="Times New Roman" w:eastAsia="仿宋_GB2312" w:cs="Times New Roman"/>
          <w:sz w:val="32"/>
          <w:szCs w:val="32"/>
          <w:lang w:val="en-US" w:eastAsia="zh-CN"/>
        </w:rPr>
        <w:t>1600</w:t>
      </w:r>
      <w:r>
        <w:rPr>
          <w:rFonts w:hint="eastAsia" w:ascii="Times New Roman" w:hAnsi="Times New Roman" w:eastAsia="仿宋_GB2312" w:cs="Times New Roman"/>
          <w:sz w:val="32"/>
          <w:szCs w:val="32"/>
        </w:rPr>
        <w:t>mg</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《食品安全国家标准 预包装特殊膳食用食品标签》（GB 13432</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2013）中规定，</w:t>
      </w:r>
      <w:r>
        <w:rPr>
          <w:rFonts w:hint="default" w:ascii="Times New Roman" w:hAnsi="Times New Roman" w:eastAsia="仿宋_GB2312" w:cs="Times New Roman"/>
          <w:sz w:val="32"/>
        </w:rPr>
        <w:t>在产品保质期内，能量和营养成分的实际含量不应低于标示值的80%</w:t>
      </w:r>
      <w:r>
        <w:rPr>
          <w:rFonts w:hint="default" w:ascii="Times New Roman" w:hAnsi="Times New Roman" w:eastAsia="仿宋_GB2312" w:cs="Times New Roman"/>
          <w:sz w:val="32"/>
          <w:lang w:eastAsia="zh-CN"/>
        </w:rPr>
        <w:t>。</w:t>
      </w:r>
      <w:r>
        <w:rPr>
          <w:rFonts w:hint="eastAsia" w:ascii="Times New Roman" w:hAnsi="Times New Roman" w:eastAsia="仿宋_GB2312" w:cs="Times New Roman"/>
          <w:sz w:val="32"/>
          <w:szCs w:val="32"/>
          <w:lang w:val="en-US" w:eastAsia="zh-CN"/>
        </w:rPr>
        <w:t>运动营养食品</w:t>
      </w:r>
      <w:r>
        <w:rPr>
          <w:rFonts w:hint="eastAsia" w:ascii="Times New Roman" w:hAnsi="Times New Roman" w:eastAsia="仿宋_GB2312" w:cs="Times New Roman"/>
          <w:sz w:val="32"/>
          <w:szCs w:val="32"/>
        </w:rPr>
        <w:t>中钠含量不达标</w:t>
      </w:r>
      <w:r>
        <w:rPr>
          <w:rFonts w:hint="eastAsia" w:ascii="Times New Roman" w:hAnsi="Times New Roman" w:eastAsia="仿宋_GB2312" w:cs="Times New Roman"/>
          <w:sz w:val="32"/>
          <w:szCs w:val="32"/>
          <w:lang w:eastAsia="zh-CN"/>
        </w:rPr>
        <w:t>的</w:t>
      </w:r>
      <w:r>
        <w:rPr>
          <w:rFonts w:hint="eastAsia" w:ascii="Times New Roman" w:hAnsi="Times New Roman" w:eastAsia="仿宋_GB2312" w:cs="Times New Roman"/>
          <w:sz w:val="32"/>
          <w:szCs w:val="32"/>
        </w:rPr>
        <w:t>原因</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rPr>
        <w:t>可能是生产工艺不合理</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也可能是产品标签标注不规范</w:t>
      </w:r>
      <w:r>
        <w:rPr>
          <w:rFonts w:ascii="Times New Roman" w:hAnsi="Times New Roman" w:eastAsia="仿宋_GB2312" w:cs="Times New Roman"/>
          <w:sz w:val="32"/>
          <w:szCs w:val="32"/>
        </w:rPr>
        <w:t>。</w:t>
      </w:r>
    </w:p>
    <w:p>
      <w:pPr>
        <w:pStyle w:val="2"/>
        <w:keepNext w:val="0"/>
        <w:keepLines w:val="0"/>
        <w:pageBreakBefore w:val="0"/>
        <w:widowControl w:val="0"/>
        <w:kinsoku/>
        <w:wordWrap/>
        <w:overflowPunct/>
        <w:topLinePunct w:val="0"/>
        <w:bidi w:val="0"/>
        <w:adjustRightInd/>
        <w:snapToGrid/>
        <w:spacing w:after="0" w:line="594" w:lineRule="exact"/>
        <w:ind w:firstLine="592"/>
        <w:textAlignment w:val="auto"/>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十三、维生素D</w:t>
      </w:r>
    </w:p>
    <w:p>
      <w:pPr>
        <w:pStyle w:val="2"/>
        <w:spacing w:line="594" w:lineRule="exact"/>
        <w:ind w:firstLineChars="20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rPr>
        <w:t>维生素D是一种脂溶性维生素，</w:t>
      </w:r>
      <w:r>
        <w:rPr>
          <w:rFonts w:hint="eastAsia" w:ascii="Times New Roman" w:hAnsi="Times New Roman" w:eastAsia="仿宋_GB2312" w:cs="Times New Roman"/>
          <w:sz w:val="32"/>
          <w:szCs w:val="32"/>
          <w:lang w:val="en-US" w:eastAsia="zh-CN"/>
        </w:rPr>
        <w:t>可以维持血浆钙和磷的水平稳定，满足骨骼矿物质化、肌肉收缩、神经传导及细胞的基本功能。</w:t>
      </w:r>
      <w:r>
        <w:rPr>
          <w:rFonts w:hint="default" w:ascii="Times New Roman" w:hAnsi="Times New Roman" w:eastAsia="仿宋_GB2312" w:cs="Times New Roman"/>
          <w:sz w:val="32"/>
        </w:rPr>
        <w:t>维生素D缺乏</w:t>
      </w:r>
      <w:r>
        <w:rPr>
          <w:rFonts w:hint="eastAsia" w:ascii="Times New Roman" w:hAnsi="Times New Roman" w:eastAsia="仿宋_GB2312" w:cs="Times New Roman"/>
          <w:sz w:val="32"/>
          <w:lang w:val="en-US" w:eastAsia="zh-CN"/>
        </w:rPr>
        <w:t>可能</w:t>
      </w:r>
      <w:r>
        <w:rPr>
          <w:rFonts w:hint="default" w:ascii="Times New Roman" w:hAnsi="Times New Roman" w:eastAsia="仿宋_GB2312" w:cs="Times New Roman"/>
          <w:sz w:val="32"/>
        </w:rPr>
        <w:t>导致钙的吸收利用降低，出现佝偻病、骨软化症及骨质疏松等问题。</w:t>
      </w:r>
      <w:r>
        <w:rPr>
          <w:rFonts w:hint="default" w:ascii="Times New Roman" w:hAnsi="Times New Roman" w:eastAsia="仿宋_GB2312" w:cs="Times New Roman"/>
          <w:sz w:val="32"/>
          <w:szCs w:val="32"/>
          <w:lang w:val="en-US" w:eastAsia="zh-CN"/>
        </w:rPr>
        <w:t>《食品安全国家标准 运动营养食品通则》（GB 24154</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2015）</w:t>
      </w:r>
      <w:r>
        <w:rPr>
          <w:rFonts w:hint="eastAsia" w:ascii="Times New Roman" w:hAnsi="Times New Roman" w:eastAsia="仿宋_GB2312" w:cs="Times New Roman"/>
          <w:sz w:val="32"/>
          <w:szCs w:val="32"/>
        </w:rPr>
        <w:t>中规定，</w:t>
      </w:r>
      <w:r>
        <w:rPr>
          <w:rFonts w:hint="eastAsia" w:ascii="Times New Roman" w:hAnsi="Times New Roman" w:eastAsia="仿宋_GB2312" w:cs="Times New Roman"/>
          <w:sz w:val="32"/>
          <w:szCs w:val="32"/>
          <w:lang w:val="en-US" w:eastAsia="zh-CN"/>
        </w:rPr>
        <w:t>运动营养食品中</w:t>
      </w:r>
      <w:r>
        <w:rPr>
          <w:rFonts w:hint="default" w:ascii="Times New Roman" w:hAnsi="Times New Roman" w:eastAsia="仿宋_GB2312" w:cs="Times New Roman"/>
          <w:sz w:val="32"/>
        </w:rPr>
        <w:t>维生素D</w:t>
      </w:r>
      <w:r>
        <w:rPr>
          <w:rFonts w:hint="eastAsia" w:ascii="Times New Roman" w:hAnsi="Times New Roman" w:eastAsia="仿宋_GB2312" w:cs="Times New Roman"/>
          <w:sz w:val="32"/>
          <w:szCs w:val="32"/>
          <w:lang w:val="en-US" w:eastAsia="zh-CN"/>
        </w:rPr>
        <w:t>含量</w:t>
      </w:r>
      <w:r>
        <w:rPr>
          <w:rFonts w:hint="default" w:ascii="Times New Roman" w:hAnsi="Times New Roman" w:eastAsia="仿宋_GB2312" w:cs="Times New Roman"/>
          <w:sz w:val="32"/>
          <w:szCs w:val="32"/>
          <w:lang w:val="en-US" w:eastAsia="zh-CN"/>
        </w:rPr>
        <w:t>（以每日计）</w:t>
      </w:r>
      <w:r>
        <w:rPr>
          <w:rFonts w:hint="default" w:ascii="Times New Roman" w:hAnsi="Times New Roman" w:eastAsia="仿宋_GB2312" w:cs="Times New Roman"/>
          <w:sz w:val="32"/>
          <w:szCs w:val="32"/>
        </w:rPr>
        <w:t>应在</w:t>
      </w:r>
      <w:r>
        <w:rPr>
          <w:rFonts w:hint="eastAsia" w:ascii="Times New Roman" w:hAnsi="Times New Roman" w:eastAsia="仿宋_GB2312" w:cs="Times New Roman"/>
          <w:sz w:val="32"/>
          <w:szCs w:val="32"/>
          <w:lang w:val="en-US" w:eastAsia="zh-CN"/>
        </w:rPr>
        <w:t>1.5</w:t>
      </w:r>
      <w:r>
        <w:rPr>
          <w:rFonts w:hint="eastAsia" w:ascii="仿宋_GB2312" w:hAnsi="仿宋_GB2312" w:eastAsia="仿宋_GB2312" w:cs="仿宋_GB2312"/>
          <w:sz w:val="32"/>
          <w:szCs w:val="32"/>
          <w:lang w:eastAsia="zh-CN"/>
        </w:rPr>
        <w:t>—</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0μ</w:t>
      </w:r>
      <w:r>
        <w:rPr>
          <w:rFonts w:hint="default" w:ascii="Times New Roman" w:hAnsi="Times New Roman" w:eastAsia="仿宋_GB2312" w:cs="Times New Roman"/>
          <w:sz w:val="32"/>
          <w:szCs w:val="32"/>
        </w:rPr>
        <w:t>g</w:t>
      </w:r>
      <w:r>
        <w:rPr>
          <w:rFonts w:hint="eastAsia" w:ascii="Times New Roman" w:hAnsi="Times New Roman" w:eastAsia="仿宋_GB2312" w:cs="Times New Roman"/>
          <w:sz w:val="32"/>
          <w:szCs w:val="32"/>
          <w:lang w:val="en-US" w:eastAsia="zh-CN"/>
        </w:rPr>
        <w:t>范围内</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rPr>
        <w:t>《食品安全国家标准 预包装特殊膳食用食品标签》（GB 13432</w:t>
      </w:r>
      <w:r>
        <w:rPr>
          <w:rFonts w:hint="eastAsia" w:ascii="Times New Roman" w:hAnsi="Times New Roman" w:eastAsia="仿宋_GB2312" w:cs="Times New Roman"/>
          <w:sz w:val="32"/>
          <w:lang w:eastAsia="zh-CN"/>
        </w:rPr>
        <w:t>—</w:t>
      </w:r>
      <w:r>
        <w:rPr>
          <w:rFonts w:hint="default" w:ascii="Times New Roman" w:hAnsi="Times New Roman" w:eastAsia="仿宋_GB2312" w:cs="Times New Roman"/>
          <w:sz w:val="32"/>
        </w:rPr>
        <w:t>2013）</w:t>
      </w:r>
      <w:r>
        <w:rPr>
          <w:rFonts w:hint="eastAsia" w:ascii="Times New Roman" w:hAnsi="Times New Roman" w:eastAsia="仿宋_GB2312" w:cs="Times New Roman"/>
          <w:sz w:val="32"/>
          <w:lang w:val="en-US" w:eastAsia="zh-CN"/>
        </w:rPr>
        <w:t>中</w:t>
      </w:r>
      <w:r>
        <w:rPr>
          <w:rFonts w:hint="default" w:ascii="Times New Roman" w:hAnsi="Times New Roman" w:eastAsia="仿宋_GB2312" w:cs="Times New Roman"/>
          <w:sz w:val="32"/>
        </w:rPr>
        <w:t>规定，在产品保质期内，能量和营养成分的实际含量不应低于标示值的80%。</w:t>
      </w:r>
      <w:r>
        <w:rPr>
          <w:rFonts w:hint="eastAsia" w:ascii="Times New Roman" w:hAnsi="Times New Roman" w:eastAsia="仿宋_GB2312" w:cs="Times New Roman"/>
          <w:sz w:val="32"/>
          <w:lang w:val="en-US" w:eastAsia="zh-CN"/>
        </w:rPr>
        <w:t>运动营养食品</w:t>
      </w:r>
      <w:r>
        <w:rPr>
          <w:rFonts w:hint="default" w:ascii="Times New Roman" w:hAnsi="Times New Roman" w:eastAsia="仿宋_GB2312" w:cs="Times New Roman"/>
          <w:sz w:val="32"/>
        </w:rPr>
        <w:t>中维生素D</w:t>
      </w:r>
      <w:r>
        <w:rPr>
          <w:rFonts w:hint="eastAsia" w:ascii="Times New Roman" w:hAnsi="Times New Roman" w:eastAsia="仿宋_GB2312" w:cs="Times New Roman"/>
          <w:sz w:val="32"/>
          <w:lang w:val="en-US" w:eastAsia="zh-CN"/>
        </w:rPr>
        <w:t>含量</w:t>
      </w:r>
      <w:r>
        <w:rPr>
          <w:rFonts w:hint="default" w:ascii="Times New Roman" w:hAnsi="Times New Roman" w:eastAsia="仿宋_GB2312" w:cs="Times New Roman"/>
          <w:sz w:val="32"/>
        </w:rPr>
        <w:t>不达标的原因，</w:t>
      </w:r>
      <w:r>
        <w:rPr>
          <w:rFonts w:hint="eastAsia" w:ascii="Times New Roman" w:hAnsi="Times New Roman" w:eastAsia="仿宋_GB2312" w:cs="Times New Roman"/>
          <w:sz w:val="32"/>
          <w:szCs w:val="32"/>
          <w:lang w:val="en-US" w:eastAsia="zh-CN"/>
        </w:rPr>
        <w:t>可能是</w:t>
      </w:r>
      <w:r>
        <w:rPr>
          <w:rFonts w:hint="default" w:ascii="Times New Roman" w:hAnsi="Times New Roman" w:eastAsia="仿宋_GB2312" w:cs="Times New Roman"/>
          <w:sz w:val="32"/>
          <w:szCs w:val="32"/>
        </w:rPr>
        <w:t>原辅料用食品营养强化剂不</w:t>
      </w:r>
      <w:r>
        <w:rPr>
          <w:rFonts w:hint="default" w:ascii="Times New Roman" w:hAnsi="Times New Roman" w:eastAsia="仿宋_GB2312" w:cs="Times New Roman"/>
          <w:sz w:val="32"/>
          <w:szCs w:val="32"/>
          <w:lang w:val="en-US" w:eastAsia="zh-CN"/>
        </w:rPr>
        <w:t>符合质量要求</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也</w:t>
      </w:r>
      <w:r>
        <w:rPr>
          <w:rFonts w:hint="default" w:ascii="Times New Roman" w:hAnsi="Times New Roman" w:eastAsia="仿宋_GB2312" w:cs="Times New Roman"/>
          <w:sz w:val="32"/>
          <w:szCs w:val="32"/>
        </w:rPr>
        <w:t>可能是生产加工过程中搅拌不均匀</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还可能是</w:t>
      </w:r>
      <w:r>
        <w:rPr>
          <w:rFonts w:hint="default" w:ascii="Times New Roman" w:hAnsi="Times New Roman" w:eastAsia="仿宋_GB2312" w:cs="Times New Roman"/>
          <w:sz w:val="32"/>
          <w:szCs w:val="32"/>
        </w:rPr>
        <w:t>在加工或储存过程中损失。</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汉仪大宋简">
    <w:panose1 w:val="02010609000101010101"/>
    <w:charset w:val="86"/>
    <w:family w:val="auto"/>
    <w:pitch w:val="default"/>
    <w:sig w:usb0="00000001" w:usb1="080E0800" w:usb2="00000002" w:usb3="00000000" w:csb0="00040000"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sdtPr>
    <w:sdtEndPr>
      <w:rPr>
        <w:lang w:val="zh-CN"/>
      </w:rPr>
    </w:sdtEndPr>
    <w:sdtContent>
      <w:p>
        <w:pPr>
          <w:pStyle w:val="6"/>
          <w:jc w:val="center"/>
          <w:rPr>
            <w:lang w:val="zh-CN"/>
          </w:rPr>
        </w:pPr>
        <w:r>
          <w:rPr>
            <w:lang w:val="zh-CN"/>
          </w:rPr>
          <w:fldChar w:fldCharType="begin"/>
        </w:r>
        <w:r>
          <w:rPr>
            <w:lang w:val="zh-CN"/>
          </w:rPr>
          <w:instrText xml:space="preserve">PAGE   \* MERGEFORMAT</w:instrText>
        </w:r>
        <w:r>
          <w:rPr>
            <w:lang w:val="zh-CN"/>
          </w:rPr>
          <w:fldChar w:fldCharType="separate"/>
        </w:r>
        <w:r>
          <w:rPr>
            <w:lang w:val="zh-CN"/>
          </w:rPr>
          <w:t>3</w:t>
        </w:r>
        <w:r>
          <w:rPr>
            <w:lang w:val="zh-CN"/>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1Nzk0NGJjYjlhZTdmZjU0YmM5NTY3ODhkYTUwMzcifQ=="/>
  </w:docVars>
  <w:rsids>
    <w:rsidRoot w:val="052446EE"/>
    <w:rsid w:val="00020497"/>
    <w:rsid w:val="00024C6D"/>
    <w:rsid w:val="00043432"/>
    <w:rsid w:val="00043867"/>
    <w:rsid w:val="00053AE6"/>
    <w:rsid w:val="00083C9A"/>
    <w:rsid w:val="000A1FB4"/>
    <w:rsid w:val="000B21AE"/>
    <w:rsid w:val="000B4026"/>
    <w:rsid w:val="000B4DAD"/>
    <w:rsid w:val="000C502F"/>
    <w:rsid w:val="000C6083"/>
    <w:rsid w:val="000D1C58"/>
    <w:rsid w:val="000D34F7"/>
    <w:rsid w:val="000F7117"/>
    <w:rsid w:val="0010216A"/>
    <w:rsid w:val="00107958"/>
    <w:rsid w:val="00110259"/>
    <w:rsid w:val="001220AD"/>
    <w:rsid w:val="00123FF4"/>
    <w:rsid w:val="00131A76"/>
    <w:rsid w:val="0013226B"/>
    <w:rsid w:val="0015275C"/>
    <w:rsid w:val="001727C1"/>
    <w:rsid w:val="00177381"/>
    <w:rsid w:val="0019592F"/>
    <w:rsid w:val="001C1A51"/>
    <w:rsid w:val="001D168E"/>
    <w:rsid w:val="001D3191"/>
    <w:rsid w:val="001E3878"/>
    <w:rsid w:val="001E40B2"/>
    <w:rsid w:val="001F4428"/>
    <w:rsid w:val="001F5BDC"/>
    <w:rsid w:val="0024004A"/>
    <w:rsid w:val="00242E9A"/>
    <w:rsid w:val="00244971"/>
    <w:rsid w:val="0025796E"/>
    <w:rsid w:val="002849D1"/>
    <w:rsid w:val="00287BFF"/>
    <w:rsid w:val="002A1219"/>
    <w:rsid w:val="002A2616"/>
    <w:rsid w:val="002A3534"/>
    <w:rsid w:val="002D0E99"/>
    <w:rsid w:val="002D2E25"/>
    <w:rsid w:val="00305C48"/>
    <w:rsid w:val="00312A7A"/>
    <w:rsid w:val="0033388D"/>
    <w:rsid w:val="003347AE"/>
    <w:rsid w:val="00336B1D"/>
    <w:rsid w:val="00343C07"/>
    <w:rsid w:val="00363809"/>
    <w:rsid w:val="00375893"/>
    <w:rsid w:val="00390C6C"/>
    <w:rsid w:val="003B1570"/>
    <w:rsid w:val="003C27DE"/>
    <w:rsid w:val="003F22EE"/>
    <w:rsid w:val="00415A66"/>
    <w:rsid w:val="00423285"/>
    <w:rsid w:val="00434D14"/>
    <w:rsid w:val="00452EBB"/>
    <w:rsid w:val="0049668F"/>
    <w:rsid w:val="004A228F"/>
    <w:rsid w:val="004B4C0B"/>
    <w:rsid w:val="004C3F64"/>
    <w:rsid w:val="004F17CC"/>
    <w:rsid w:val="0050201A"/>
    <w:rsid w:val="00503C7B"/>
    <w:rsid w:val="00533D1D"/>
    <w:rsid w:val="005557BE"/>
    <w:rsid w:val="00560DD5"/>
    <w:rsid w:val="0056128C"/>
    <w:rsid w:val="005A1446"/>
    <w:rsid w:val="005B036E"/>
    <w:rsid w:val="005C72E8"/>
    <w:rsid w:val="005E1899"/>
    <w:rsid w:val="005E36FE"/>
    <w:rsid w:val="005E5714"/>
    <w:rsid w:val="005F4FE7"/>
    <w:rsid w:val="006000A5"/>
    <w:rsid w:val="00601F5C"/>
    <w:rsid w:val="0062795C"/>
    <w:rsid w:val="006417C9"/>
    <w:rsid w:val="00674436"/>
    <w:rsid w:val="00681D0D"/>
    <w:rsid w:val="00687989"/>
    <w:rsid w:val="006E2F89"/>
    <w:rsid w:val="006E6218"/>
    <w:rsid w:val="006F0D6D"/>
    <w:rsid w:val="006F22C8"/>
    <w:rsid w:val="006F3B40"/>
    <w:rsid w:val="00704F64"/>
    <w:rsid w:val="00725909"/>
    <w:rsid w:val="007400B0"/>
    <w:rsid w:val="00751527"/>
    <w:rsid w:val="007535B9"/>
    <w:rsid w:val="007576ED"/>
    <w:rsid w:val="00760BDF"/>
    <w:rsid w:val="0077656B"/>
    <w:rsid w:val="007822C5"/>
    <w:rsid w:val="00792534"/>
    <w:rsid w:val="007C73DC"/>
    <w:rsid w:val="007D0852"/>
    <w:rsid w:val="007F55A3"/>
    <w:rsid w:val="007F6A2F"/>
    <w:rsid w:val="00802F57"/>
    <w:rsid w:val="00812F54"/>
    <w:rsid w:val="008270FB"/>
    <w:rsid w:val="0082773A"/>
    <w:rsid w:val="00895609"/>
    <w:rsid w:val="008A22C6"/>
    <w:rsid w:val="008A2568"/>
    <w:rsid w:val="008C1383"/>
    <w:rsid w:val="008C3F7A"/>
    <w:rsid w:val="008D3AA0"/>
    <w:rsid w:val="008E762E"/>
    <w:rsid w:val="008F0056"/>
    <w:rsid w:val="00903A84"/>
    <w:rsid w:val="00906A8C"/>
    <w:rsid w:val="00933FC6"/>
    <w:rsid w:val="00950CBE"/>
    <w:rsid w:val="009568FF"/>
    <w:rsid w:val="00967245"/>
    <w:rsid w:val="00980954"/>
    <w:rsid w:val="009809DA"/>
    <w:rsid w:val="00981C27"/>
    <w:rsid w:val="009941B3"/>
    <w:rsid w:val="009D2294"/>
    <w:rsid w:val="009D56C5"/>
    <w:rsid w:val="009E2E64"/>
    <w:rsid w:val="009F42E5"/>
    <w:rsid w:val="009F75A8"/>
    <w:rsid w:val="00A0189E"/>
    <w:rsid w:val="00A12057"/>
    <w:rsid w:val="00A655ED"/>
    <w:rsid w:val="00A72D59"/>
    <w:rsid w:val="00A819D9"/>
    <w:rsid w:val="00A858FD"/>
    <w:rsid w:val="00A8639F"/>
    <w:rsid w:val="00AE2978"/>
    <w:rsid w:val="00AE3415"/>
    <w:rsid w:val="00AE4163"/>
    <w:rsid w:val="00AE443A"/>
    <w:rsid w:val="00AF3D26"/>
    <w:rsid w:val="00B02836"/>
    <w:rsid w:val="00B17403"/>
    <w:rsid w:val="00B26756"/>
    <w:rsid w:val="00B30079"/>
    <w:rsid w:val="00B342D4"/>
    <w:rsid w:val="00B46A7C"/>
    <w:rsid w:val="00B56A64"/>
    <w:rsid w:val="00B734B6"/>
    <w:rsid w:val="00B82BD1"/>
    <w:rsid w:val="00B83167"/>
    <w:rsid w:val="00B876A6"/>
    <w:rsid w:val="00BA50EB"/>
    <w:rsid w:val="00BE4729"/>
    <w:rsid w:val="00C05D47"/>
    <w:rsid w:val="00C10FA4"/>
    <w:rsid w:val="00C22080"/>
    <w:rsid w:val="00C277F9"/>
    <w:rsid w:val="00C35F32"/>
    <w:rsid w:val="00C425FB"/>
    <w:rsid w:val="00C47869"/>
    <w:rsid w:val="00C52899"/>
    <w:rsid w:val="00C53768"/>
    <w:rsid w:val="00C71CF8"/>
    <w:rsid w:val="00C82E32"/>
    <w:rsid w:val="00C95DA4"/>
    <w:rsid w:val="00CD2658"/>
    <w:rsid w:val="00CD5EC3"/>
    <w:rsid w:val="00CE26B0"/>
    <w:rsid w:val="00CE296E"/>
    <w:rsid w:val="00D026A1"/>
    <w:rsid w:val="00D0282A"/>
    <w:rsid w:val="00D02ED8"/>
    <w:rsid w:val="00D172AA"/>
    <w:rsid w:val="00D17FA8"/>
    <w:rsid w:val="00D221B8"/>
    <w:rsid w:val="00D25ABD"/>
    <w:rsid w:val="00D407AC"/>
    <w:rsid w:val="00D44653"/>
    <w:rsid w:val="00D550F5"/>
    <w:rsid w:val="00D716C1"/>
    <w:rsid w:val="00D75D39"/>
    <w:rsid w:val="00D940B0"/>
    <w:rsid w:val="00DB0F7D"/>
    <w:rsid w:val="00DB3515"/>
    <w:rsid w:val="00DB7633"/>
    <w:rsid w:val="00DB7982"/>
    <w:rsid w:val="00DC4018"/>
    <w:rsid w:val="00DD03EA"/>
    <w:rsid w:val="00DD59C8"/>
    <w:rsid w:val="00DD7C24"/>
    <w:rsid w:val="00E01EB3"/>
    <w:rsid w:val="00E07B1F"/>
    <w:rsid w:val="00E16D89"/>
    <w:rsid w:val="00E45266"/>
    <w:rsid w:val="00E5453C"/>
    <w:rsid w:val="00E651D8"/>
    <w:rsid w:val="00E66BDB"/>
    <w:rsid w:val="00E721EF"/>
    <w:rsid w:val="00E73511"/>
    <w:rsid w:val="00E81D4E"/>
    <w:rsid w:val="00E90919"/>
    <w:rsid w:val="00EA2C6D"/>
    <w:rsid w:val="00EB1898"/>
    <w:rsid w:val="00EB2DC4"/>
    <w:rsid w:val="00ED0033"/>
    <w:rsid w:val="00EE4D2C"/>
    <w:rsid w:val="00EF6290"/>
    <w:rsid w:val="00F009DD"/>
    <w:rsid w:val="00F10843"/>
    <w:rsid w:val="00F129A7"/>
    <w:rsid w:val="00F1663E"/>
    <w:rsid w:val="00F407C3"/>
    <w:rsid w:val="00F502BA"/>
    <w:rsid w:val="00F73C8B"/>
    <w:rsid w:val="00F748C1"/>
    <w:rsid w:val="00F84AAD"/>
    <w:rsid w:val="00F935EF"/>
    <w:rsid w:val="00F94FE6"/>
    <w:rsid w:val="00FA2106"/>
    <w:rsid w:val="00FA4809"/>
    <w:rsid w:val="00FB1217"/>
    <w:rsid w:val="00FB53DF"/>
    <w:rsid w:val="00FB60C0"/>
    <w:rsid w:val="01A56D4B"/>
    <w:rsid w:val="01C40DDD"/>
    <w:rsid w:val="02661E94"/>
    <w:rsid w:val="027A5D95"/>
    <w:rsid w:val="028D1A14"/>
    <w:rsid w:val="02EE52CA"/>
    <w:rsid w:val="038F0445"/>
    <w:rsid w:val="03A414C8"/>
    <w:rsid w:val="04025BED"/>
    <w:rsid w:val="04294F27"/>
    <w:rsid w:val="043132CE"/>
    <w:rsid w:val="04B16515"/>
    <w:rsid w:val="052446EE"/>
    <w:rsid w:val="053242B0"/>
    <w:rsid w:val="05462D97"/>
    <w:rsid w:val="055E15B3"/>
    <w:rsid w:val="05907CAB"/>
    <w:rsid w:val="06A61BD4"/>
    <w:rsid w:val="06A71C34"/>
    <w:rsid w:val="06FC4B75"/>
    <w:rsid w:val="070639D0"/>
    <w:rsid w:val="0722265B"/>
    <w:rsid w:val="07265873"/>
    <w:rsid w:val="07A30962"/>
    <w:rsid w:val="07DA160B"/>
    <w:rsid w:val="081C479D"/>
    <w:rsid w:val="089E37AF"/>
    <w:rsid w:val="09FE6495"/>
    <w:rsid w:val="0AAD48BF"/>
    <w:rsid w:val="0AC442D1"/>
    <w:rsid w:val="0ADC3742"/>
    <w:rsid w:val="0B437A81"/>
    <w:rsid w:val="0BC8771C"/>
    <w:rsid w:val="0BCF39F7"/>
    <w:rsid w:val="0C2A1C3C"/>
    <w:rsid w:val="0C2D133B"/>
    <w:rsid w:val="0C364B74"/>
    <w:rsid w:val="0CD40A10"/>
    <w:rsid w:val="0CF0645F"/>
    <w:rsid w:val="0E092D0B"/>
    <w:rsid w:val="0EC81837"/>
    <w:rsid w:val="0F5238B5"/>
    <w:rsid w:val="0FEB509E"/>
    <w:rsid w:val="0FF5732E"/>
    <w:rsid w:val="102D3FF1"/>
    <w:rsid w:val="103364D3"/>
    <w:rsid w:val="105542C0"/>
    <w:rsid w:val="10625608"/>
    <w:rsid w:val="108233AD"/>
    <w:rsid w:val="10A511DC"/>
    <w:rsid w:val="10C75499"/>
    <w:rsid w:val="10F93D79"/>
    <w:rsid w:val="111C434C"/>
    <w:rsid w:val="11A245C9"/>
    <w:rsid w:val="11A552D9"/>
    <w:rsid w:val="11AD305F"/>
    <w:rsid w:val="12076629"/>
    <w:rsid w:val="12D22C2E"/>
    <w:rsid w:val="12FD4DF0"/>
    <w:rsid w:val="130B5CD4"/>
    <w:rsid w:val="133001AE"/>
    <w:rsid w:val="134D526F"/>
    <w:rsid w:val="156E0206"/>
    <w:rsid w:val="160A5910"/>
    <w:rsid w:val="17033CEF"/>
    <w:rsid w:val="1722569F"/>
    <w:rsid w:val="178C1298"/>
    <w:rsid w:val="19067FF8"/>
    <w:rsid w:val="196B1D4E"/>
    <w:rsid w:val="19977A4A"/>
    <w:rsid w:val="19D6063F"/>
    <w:rsid w:val="19DD082F"/>
    <w:rsid w:val="1A907481"/>
    <w:rsid w:val="1AEC7B0C"/>
    <w:rsid w:val="1B03607B"/>
    <w:rsid w:val="1B2E77B1"/>
    <w:rsid w:val="1B3D7278"/>
    <w:rsid w:val="1D513069"/>
    <w:rsid w:val="1D6C2FCD"/>
    <w:rsid w:val="1DA014D7"/>
    <w:rsid w:val="1DF6698D"/>
    <w:rsid w:val="1E0B5C9C"/>
    <w:rsid w:val="1E37319B"/>
    <w:rsid w:val="1E9157FB"/>
    <w:rsid w:val="1F961D6E"/>
    <w:rsid w:val="1FA03EF4"/>
    <w:rsid w:val="1FF5604A"/>
    <w:rsid w:val="1FF77807"/>
    <w:rsid w:val="20582274"/>
    <w:rsid w:val="2059449C"/>
    <w:rsid w:val="20BC665B"/>
    <w:rsid w:val="20C11697"/>
    <w:rsid w:val="20DF2D7E"/>
    <w:rsid w:val="20E97796"/>
    <w:rsid w:val="21372698"/>
    <w:rsid w:val="215701F0"/>
    <w:rsid w:val="22E67475"/>
    <w:rsid w:val="239D06F1"/>
    <w:rsid w:val="23D113E8"/>
    <w:rsid w:val="24235EAA"/>
    <w:rsid w:val="247A6FAA"/>
    <w:rsid w:val="249D47DC"/>
    <w:rsid w:val="25124A75"/>
    <w:rsid w:val="259E23E3"/>
    <w:rsid w:val="26314ACD"/>
    <w:rsid w:val="266C5903"/>
    <w:rsid w:val="269D741C"/>
    <w:rsid w:val="27584E00"/>
    <w:rsid w:val="27894434"/>
    <w:rsid w:val="27C43035"/>
    <w:rsid w:val="27CF1A25"/>
    <w:rsid w:val="28CC6DE2"/>
    <w:rsid w:val="294A7F7D"/>
    <w:rsid w:val="29F8276D"/>
    <w:rsid w:val="29FB7D70"/>
    <w:rsid w:val="2A53594F"/>
    <w:rsid w:val="2ABF7615"/>
    <w:rsid w:val="2AEB7548"/>
    <w:rsid w:val="2AF42F2E"/>
    <w:rsid w:val="2BD07C59"/>
    <w:rsid w:val="2CD74E22"/>
    <w:rsid w:val="2CE70F66"/>
    <w:rsid w:val="2D64060D"/>
    <w:rsid w:val="2D7D16EA"/>
    <w:rsid w:val="2E4243E1"/>
    <w:rsid w:val="2F033EB0"/>
    <w:rsid w:val="2F2C68FC"/>
    <w:rsid w:val="2F712A79"/>
    <w:rsid w:val="2F9B35E3"/>
    <w:rsid w:val="2FDD066F"/>
    <w:rsid w:val="30706BFB"/>
    <w:rsid w:val="30730D18"/>
    <w:rsid w:val="308001C6"/>
    <w:rsid w:val="30AC7B38"/>
    <w:rsid w:val="31252E3F"/>
    <w:rsid w:val="31FD11FC"/>
    <w:rsid w:val="32A67649"/>
    <w:rsid w:val="33844E91"/>
    <w:rsid w:val="33BA14BA"/>
    <w:rsid w:val="34151A1C"/>
    <w:rsid w:val="34516D2E"/>
    <w:rsid w:val="34DB4439"/>
    <w:rsid w:val="34F97B15"/>
    <w:rsid w:val="358F3E74"/>
    <w:rsid w:val="36256509"/>
    <w:rsid w:val="36AD5E36"/>
    <w:rsid w:val="36BB0136"/>
    <w:rsid w:val="36BB4D35"/>
    <w:rsid w:val="37E01180"/>
    <w:rsid w:val="37E56DDC"/>
    <w:rsid w:val="37F900FD"/>
    <w:rsid w:val="38933D71"/>
    <w:rsid w:val="38AA3B42"/>
    <w:rsid w:val="394C2E8B"/>
    <w:rsid w:val="39673EBA"/>
    <w:rsid w:val="3A4A0926"/>
    <w:rsid w:val="3A8A5A19"/>
    <w:rsid w:val="3AA478AB"/>
    <w:rsid w:val="3B2D45F6"/>
    <w:rsid w:val="3B5B0921"/>
    <w:rsid w:val="3C2512EE"/>
    <w:rsid w:val="3C3812CC"/>
    <w:rsid w:val="3C432FF1"/>
    <w:rsid w:val="3C4B12A5"/>
    <w:rsid w:val="3C4D2E8B"/>
    <w:rsid w:val="3C81270D"/>
    <w:rsid w:val="3D54210C"/>
    <w:rsid w:val="3DD57988"/>
    <w:rsid w:val="3E56682C"/>
    <w:rsid w:val="3ED05834"/>
    <w:rsid w:val="3EF229BA"/>
    <w:rsid w:val="3F42581D"/>
    <w:rsid w:val="3FA01312"/>
    <w:rsid w:val="3FED319C"/>
    <w:rsid w:val="401234CD"/>
    <w:rsid w:val="405B301B"/>
    <w:rsid w:val="408B4949"/>
    <w:rsid w:val="40F962F7"/>
    <w:rsid w:val="41025C20"/>
    <w:rsid w:val="411B6563"/>
    <w:rsid w:val="4218656A"/>
    <w:rsid w:val="4236267D"/>
    <w:rsid w:val="42590783"/>
    <w:rsid w:val="42BC2694"/>
    <w:rsid w:val="42C6205B"/>
    <w:rsid w:val="43AF5096"/>
    <w:rsid w:val="44120B90"/>
    <w:rsid w:val="446C036D"/>
    <w:rsid w:val="448604CB"/>
    <w:rsid w:val="44921DE2"/>
    <w:rsid w:val="44CE64DA"/>
    <w:rsid w:val="45562D9B"/>
    <w:rsid w:val="45AF268C"/>
    <w:rsid w:val="463A646A"/>
    <w:rsid w:val="46994A91"/>
    <w:rsid w:val="46CC3297"/>
    <w:rsid w:val="471E6356"/>
    <w:rsid w:val="47242D51"/>
    <w:rsid w:val="47D450E7"/>
    <w:rsid w:val="47D93B1F"/>
    <w:rsid w:val="48CD06B6"/>
    <w:rsid w:val="48CE02C4"/>
    <w:rsid w:val="48D63B60"/>
    <w:rsid w:val="494C3F8C"/>
    <w:rsid w:val="494E4E79"/>
    <w:rsid w:val="495138DA"/>
    <w:rsid w:val="497763FD"/>
    <w:rsid w:val="49B00079"/>
    <w:rsid w:val="49D57EE1"/>
    <w:rsid w:val="4A612A04"/>
    <w:rsid w:val="4ADC5E51"/>
    <w:rsid w:val="4B5D2CD5"/>
    <w:rsid w:val="4C544655"/>
    <w:rsid w:val="4C9204E2"/>
    <w:rsid w:val="4C95329C"/>
    <w:rsid w:val="4CA036CC"/>
    <w:rsid w:val="4CB7255F"/>
    <w:rsid w:val="4D2968B7"/>
    <w:rsid w:val="4D5B1BD1"/>
    <w:rsid w:val="4D61085B"/>
    <w:rsid w:val="4D96357F"/>
    <w:rsid w:val="4DF711BF"/>
    <w:rsid w:val="4E196222"/>
    <w:rsid w:val="4E8159AF"/>
    <w:rsid w:val="4ED53EED"/>
    <w:rsid w:val="4EFB0F58"/>
    <w:rsid w:val="4F69410F"/>
    <w:rsid w:val="4FAF363F"/>
    <w:rsid w:val="4FDF48D9"/>
    <w:rsid w:val="4FE173F8"/>
    <w:rsid w:val="50B25B41"/>
    <w:rsid w:val="50BC54AF"/>
    <w:rsid w:val="514C2084"/>
    <w:rsid w:val="51861C65"/>
    <w:rsid w:val="51B24EEC"/>
    <w:rsid w:val="51B43769"/>
    <w:rsid w:val="51BC1E2A"/>
    <w:rsid w:val="528A11AE"/>
    <w:rsid w:val="52FD335B"/>
    <w:rsid w:val="532062CE"/>
    <w:rsid w:val="533407C0"/>
    <w:rsid w:val="5387412A"/>
    <w:rsid w:val="53FD2F44"/>
    <w:rsid w:val="53FF0DCE"/>
    <w:rsid w:val="54544D6D"/>
    <w:rsid w:val="545804DE"/>
    <w:rsid w:val="56A276D0"/>
    <w:rsid w:val="573F70E4"/>
    <w:rsid w:val="57B03788"/>
    <w:rsid w:val="57BB6F28"/>
    <w:rsid w:val="57F401E5"/>
    <w:rsid w:val="580C5E2D"/>
    <w:rsid w:val="586C779B"/>
    <w:rsid w:val="58873140"/>
    <w:rsid w:val="588C340E"/>
    <w:rsid w:val="58A7355C"/>
    <w:rsid w:val="5917309A"/>
    <w:rsid w:val="592526F4"/>
    <w:rsid w:val="59840098"/>
    <w:rsid w:val="59C949EC"/>
    <w:rsid w:val="59D04F91"/>
    <w:rsid w:val="5AB54607"/>
    <w:rsid w:val="5AB741B0"/>
    <w:rsid w:val="5B035A3A"/>
    <w:rsid w:val="5B7D1719"/>
    <w:rsid w:val="5B9E651D"/>
    <w:rsid w:val="5BE41C7F"/>
    <w:rsid w:val="5C435B8D"/>
    <w:rsid w:val="5CD643C2"/>
    <w:rsid w:val="5D3C5BA5"/>
    <w:rsid w:val="5DA1645E"/>
    <w:rsid w:val="5DBE4F38"/>
    <w:rsid w:val="5E14229A"/>
    <w:rsid w:val="5E38554B"/>
    <w:rsid w:val="5E5431CD"/>
    <w:rsid w:val="5F2065C8"/>
    <w:rsid w:val="613D1EB7"/>
    <w:rsid w:val="63213BB4"/>
    <w:rsid w:val="63BA5678"/>
    <w:rsid w:val="64165519"/>
    <w:rsid w:val="643200F6"/>
    <w:rsid w:val="64CE046B"/>
    <w:rsid w:val="64D82E8B"/>
    <w:rsid w:val="653E7950"/>
    <w:rsid w:val="676770CE"/>
    <w:rsid w:val="679E2A0F"/>
    <w:rsid w:val="68A74C6B"/>
    <w:rsid w:val="69872FA0"/>
    <w:rsid w:val="69C7211C"/>
    <w:rsid w:val="69E34809"/>
    <w:rsid w:val="6B487B7E"/>
    <w:rsid w:val="6B8F3DB5"/>
    <w:rsid w:val="6B997EDF"/>
    <w:rsid w:val="6BA50B91"/>
    <w:rsid w:val="6BC54056"/>
    <w:rsid w:val="6C57653C"/>
    <w:rsid w:val="6C8F263F"/>
    <w:rsid w:val="6D3323BC"/>
    <w:rsid w:val="6E0D279D"/>
    <w:rsid w:val="6E1B7C7E"/>
    <w:rsid w:val="6E9D44F7"/>
    <w:rsid w:val="6EFF5CCE"/>
    <w:rsid w:val="6F7C56DB"/>
    <w:rsid w:val="707961D1"/>
    <w:rsid w:val="70CF7EE0"/>
    <w:rsid w:val="70F00C1D"/>
    <w:rsid w:val="71052DB8"/>
    <w:rsid w:val="71346E5A"/>
    <w:rsid w:val="72404633"/>
    <w:rsid w:val="728D7A35"/>
    <w:rsid w:val="72ED6B92"/>
    <w:rsid w:val="735D6752"/>
    <w:rsid w:val="73712CCC"/>
    <w:rsid w:val="739C3AEB"/>
    <w:rsid w:val="73A155A6"/>
    <w:rsid w:val="73F64CEB"/>
    <w:rsid w:val="741C16EF"/>
    <w:rsid w:val="743531C2"/>
    <w:rsid w:val="743B3E91"/>
    <w:rsid w:val="74631C62"/>
    <w:rsid w:val="749704B3"/>
    <w:rsid w:val="751C7E3C"/>
    <w:rsid w:val="75A22D1B"/>
    <w:rsid w:val="75A47394"/>
    <w:rsid w:val="7773491F"/>
    <w:rsid w:val="77775FE6"/>
    <w:rsid w:val="77DD70DB"/>
    <w:rsid w:val="78BF19EB"/>
    <w:rsid w:val="78FB4BB6"/>
    <w:rsid w:val="79043F06"/>
    <w:rsid w:val="79DE2FF1"/>
    <w:rsid w:val="7A7226AF"/>
    <w:rsid w:val="7A971365"/>
    <w:rsid w:val="7AE837E3"/>
    <w:rsid w:val="7B081C9A"/>
    <w:rsid w:val="7B0C1162"/>
    <w:rsid w:val="7B344CA7"/>
    <w:rsid w:val="7BAF49F6"/>
    <w:rsid w:val="7BBC107B"/>
    <w:rsid w:val="7BDB4D25"/>
    <w:rsid w:val="7C3B5127"/>
    <w:rsid w:val="7D750B61"/>
    <w:rsid w:val="7D9B6771"/>
    <w:rsid w:val="7DBD7C50"/>
    <w:rsid w:val="7F056143"/>
    <w:rsid w:val="7F362E0C"/>
    <w:rsid w:val="7F3A6B56"/>
    <w:rsid w:val="7F3C7129"/>
    <w:rsid w:val="7F413799"/>
    <w:rsid w:val="7F7F5721"/>
    <w:rsid w:val="7FBE329C"/>
    <w:rsid w:val="F9BB3ADD"/>
    <w:rsid w:val="F9CFDBE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link w:val="17"/>
    <w:qFormat/>
    <w:uiPriority w:val="0"/>
    <w:pPr>
      <w:adjustRightInd w:val="0"/>
      <w:ind w:left="0" w:leftChars="0" w:firstLine="880" w:firstLineChars="200"/>
    </w:pPr>
    <w:rPr>
      <w:rFonts w:ascii="Calibri" w:hAnsi="Calibri" w:eastAsia="仿宋" w:cs="Times New Roman"/>
      <w:sz w:val="32"/>
    </w:rPr>
  </w:style>
  <w:style w:type="paragraph" w:styleId="3">
    <w:name w:val="Body Text Indent"/>
    <w:basedOn w:val="1"/>
    <w:link w:val="16"/>
    <w:qFormat/>
    <w:uiPriority w:val="0"/>
    <w:pPr>
      <w:spacing w:after="120"/>
      <w:ind w:left="420" w:leftChars="200"/>
    </w:pPr>
  </w:style>
  <w:style w:type="paragraph" w:styleId="4">
    <w:name w:val="annotation text"/>
    <w:basedOn w:val="1"/>
    <w:semiHidden/>
    <w:unhideWhenUsed/>
    <w:qFormat/>
    <w:uiPriority w:val="0"/>
    <w:pPr>
      <w:jc w:val="left"/>
    </w:pPr>
  </w:style>
  <w:style w:type="paragraph" w:styleId="5">
    <w:name w:val="Balloon Text"/>
    <w:basedOn w:val="1"/>
    <w:link w:val="15"/>
    <w:qFormat/>
    <w:uiPriority w:val="0"/>
    <w:rPr>
      <w:sz w:val="18"/>
      <w:szCs w:val="18"/>
    </w:rPr>
  </w:style>
  <w:style w:type="paragraph" w:styleId="6">
    <w:name w:val="footer"/>
    <w:basedOn w:val="1"/>
    <w:link w:val="14"/>
    <w:qFormat/>
    <w:uiPriority w:val="99"/>
    <w:pPr>
      <w:tabs>
        <w:tab w:val="center" w:pos="4153"/>
        <w:tab w:val="right" w:pos="8306"/>
      </w:tabs>
      <w:snapToGrid w:val="0"/>
      <w:jc w:val="left"/>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style>
  <w:style w:type="paragraph" w:styleId="9">
    <w:name w:val="Normal (Web)"/>
    <w:basedOn w:val="1"/>
    <w:unhideWhenUsed/>
    <w:qFormat/>
    <w:uiPriority w:val="99"/>
    <w:pPr>
      <w:spacing w:beforeAutospacing="1" w:afterAutospacing="1"/>
      <w:jc w:val="left"/>
    </w:pPr>
    <w:rPr>
      <w:rFonts w:cs="Times New Roman"/>
      <w:kern w:val="0"/>
      <w:sz w:val="24"/>
    </w:rPr>
  </w:style>
  <w:style w:type="character" w:styleId="12">
    <w:name w:val="page number"/>
    <w:basedOn w:val="11"/>
    <w:qFormat/>
    <w:uiPriority w:val="0"/>
  </w:style>
  <w:style w:type="character" w:customStyle="1" w:styleId="13">
    <w:name w:val="页眉 Char"/>
    <w:basedOn w:val="11"/>
    <w:link w:val="7"/>
    <w:qFormat/>
    <w:uiPriority w:val="0"/>
    <w:rPr>
      <w:rFonts w:asciiTheme="minorHAnsi" w:hAnsiTheme="minorHAnsi" w:eastAsiaTheme="minorEastAsia" w:cstheme="minorBidi"/>
      <w:kern w:val="2"/>
      <w:sz w:val="18"/>
      <w:szCs w:val="18"/>
    </w:rPr>
  </w:style>
  <w:style w:type="character" w:customStyle="1" w:styleId="14">
    <w:name w:val="页脚 Char"/>
    <w:basedOn w:val="11"/>
    <w:link w:val="6"/>
    <w:qFormat/>
    <w:uiPriority w:val="99"/>
    <w:rPr>
      <w:rFonts w:asciiTheme="minorHAnsi" w:hAnsiTheme="minorHAnsi" w:eastAsiaTheme="minorEastAsia" w:cstheme="minorBidi"/>
      <w:kern w:val="2"/>
      <w:sz w:val="18"/>
      <w:szCs w:val="18"/>
    </w:rPr>
  </w:style>
  <w:style w:type="character" w:customStyle="1" w:styleId="15">
    <w:name w:val="批注框文本 Char"/>
    <w:basedOn w:val="11"/>
    <w:link w:val="5"/>
    <w:qFormat/>
    <w:uiPriority w:val="0"/>
    <w:rPr>
      <w:rFonts w:asciiTheme="minorHAnsi" w:hAnsiTheme="minorHAnsi" w:eastAsiaTheme="minorEastAsia" w:cstheme="minorBidi"/>
      <w:kern w:val="2"/>
      <w:sz w:val="18"/>
      <w:szCs w:val="18"/>
    </w:rPr>
  </w:style>
  <w:style w:type="character" w:customStyle="1" w:styleId="16">
    <w:name w:val="正文文本缩进 Char"/>
    <w:basedOn w:val="11"/>
    <w:link w:val="3"/>
    <w:qFormat/>
    <w:uiPriority w:val="0"/>
    <w:rPr>
      <w:rFonts w:asciiTheme="minorHAnsi" w:hAnsiTheme="minorHAnsi" w:eastAsiaTheme="minorEastAsia" w:cstheme="minorBidi"/>
      <w:kern w:val="2"/>
      <w:sz w:val="21"/>
      <w:szCs w:val="22"/>
    </w:rPr>
  </w:style>
  <w:style w:type="character" w:customStyle="1" w:styleId="17">
    <w:name w:val="正文首行缩进 2 Char"/>
    <w:basedOn w:val="16"/>
    <w:link w:val="2"/>
    <w:qFormat/>
    <w:uiPriority w:val="0"/>
    <w:rPr>
      <w:rFonts w:ascii="Calibri" w:hAnsi="Calibri" w:eastAsia="仿宋" w:cstheme="minorBidi"/>
      <w:kern w:val="2"/>
      <w:sz w:val="32"/>
      <w:szCs w:val="22"/>
    </w:rPr>
  </w:style>
  <w:style w:type="paragraph" w:customStyle="1" w:styleId="18">
    <w:name w:val="列出段落2"/>
    <w:basedOn w:val="1"/>
    <w:qFormat/>
    <w:uiPriority w:val="34"/>
    <w:pPr>
      <w:ind w:firstLine="420" w:firstLineChars="200"/>
    </w:pPr>
  </w:style>
  <w:style w:type="paragraph" w:styleId="19">
    <w:name w:val="List Paragraph"/>
    <w:basedOn w:val="1"/>
    <w:unhideWhenUsed/>
    <w:qFormat/>
    <w:uiPriority w:val="99"/>
    <w:pPr>
      <w:ind w:firstLine="420" w:firstLineChars="200"/>
    </w:pPr>
    <w:rPr>
      <w:rFonts w:ascii="Calibri" w:hAnsi="Calibri"/>
      <w:szCs w:val="22"/>
    </w:rPr>
  </w:style>
  <w:style w:type="paragraph" w:customStyle="1" w:styleId="20">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7</Pages>
  <Words>3147</Words>
  <Characters>3384</Characters>
  <Lines>9</Lines>
  <Paragraphs>2</Paragraphs>
  <TotalTime>13</TotalTime>
  <ScaleCrop>false</ScaleCrop>
  <LinksUpToDate>false</LinksUpToDate>
  <CharactersWithSpaces>3421</CharactersWithSpaces>
  <Application>WPS Office_11.8.2.12128_F1E327BC-269C-435d-A152-05C5408002CA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2021-01-13T01:57:00Z</dcterms:created>
  <dc:creator>ywk-rx</dc:creator>
  <cp:lastModifiedBy>oa</cp:lastModifiedBy>
  <cp:lastPrinted>2024-06-13T06:27:00Z</cp:lastPrinted>
  <dcterms:modified xsi:type="dcterms:W3CDTF">2024-06-28T15:56:02Z</dcterms:modified>
  <cp:revision>112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2052-11.8.2.12128</vt:lpwstr>
  </property>
  <property fmtid="{D5CDD505-2E9C-101B-9397-08002B2CF9AE}" pid="3" name="ICV">
    <vt:lpwstr>0683E97AA5CA721D64056C668F234173</vt:lpwstr>
  </property>
</Properties>
</file>