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F6DFF47">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14:paraId="45E917E8">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14:paraId="52E5ED10">
      <w:pPr>
        <w:pStyle w:val="2"/>
        <w:rPr>
          <w:rFonts w:ascii="宋体" w:hAnsi="宋体"/>
          <w:color w:val="auto"/>
        </w:rPr>
      </w:pPr>
    </w:p>
    <w:p w14:paraId="23B965C5">
      <w:pPr>
        <w:adjustRightInd w:val="0"/>
        <w:snapToGrid w:val="0"/>
        <w:spacing w:line="594" w:lineRule="exact"/>
        <w:ind w:firstLine="592" w:firstLineChars="200"/>
        <w:rPr>
          <w:rFonts w:ascii="宋体" w:hAnsi="宋体" w:eastAsia="黑体" w:cs="Times New Roman"/>
          <w:color w:val="auto"/>
          <w:sz w:val="32"/>
          <w:szCs w:val="32"/>
        </w:rPr>
      </w:pPr>
      <w:r>
        <w:rPr>
          <w:rFonts w:hint="eastAsia" w:ascii="宋体" w:hAnsi="宋体" w:eastAsia="黑体" w:cs="Times New Roman"/>
          <w:color w:val="auto"/>
          <w:spacing w:val="-12"/>
          <w:sz w:val="32"/>
          <w:szCs w:val="32"/>
          <w:lang w:val="en-US" w:eastAsia="zh-CN"/>
        </w:rPr>
        <w:t>一</w:t>
      </w:r>
      <w:r>
        <w:rPr>
          <w:rFonts w:ascii="宋体" w:hAnsi="宋体" w:eastAsia="黑体" w:cs="Times New Roman"/>
          <w:color w:val="auto"/>
          <w:sz w:val="32"/>
          <w:szCs w:val="32"/>
        </w:rPr>
        <w:t>、</w:t>
      </w:r>
      <w:r>
        <w:rPr>
          <w:rFonts w:hint="eastAsia" w:ascii="宋体" w:hAnsi="宋体" w:eastAsia="黑体" w:cs="黑体"/>
          <w:color w:val="auto"/>
          <w:sz w:val="32"/>
          <w:szCs w:val="32"/>
        </w:rPr>
        <w:t>糖精钠（以糖精计）</w:t>
      </w:r>
    </w:p>
    <w:p w14:paraId="4EECFD6C">
      <w:pPr>
        <w:spacing w:line="594" w:lineRule="exact"/>
        <w:ind w:firstLine="640" w:firstLineChars="200"/>
        <w:rPr>
          <w:rFonts w:ascii="宋体" w:hAnsi="宋体" w:eastAsia="仿宋_GB2312" w:cs="Times New Roman"/>
          <w:color w:val="auto"/>
          <w:sz w:val="32"/>
          <w:szCs w:val="32"/>
        </w:rPr>
      </w:pPr>
      <w:r>
        <w:rPr>
          <w:rFonts w:hint="eastAsia" w:ascii="宋体" w:hAnsi="宋体" w:eastAsia="仿宋_GB2312"/>
          <w:color w:val="auto"/>
          <w:sz w:val="32"/>
          <w:szCs w:val="32"/>
        </w:rPr>
        <w:t>糖精钠是普遍使用的人工合成甜味剂，在人体内不被吸收，不产生热量，大部分经肾排出而不损害肾功能。但如果长期摄入糖精钠超标的食品，可能</w:t>
      </w:r>
      <w:r>
        <w:rPr>
          <w:rFonts w:ascii="宋体" w:hAnsi="宋体" w:eastAsia="仿宋_GB2312"/>
          <w:color w:val="auto"/>
          <w:sz w:val="32"/>
          <w:szCs w:val="32"/>
        </w:rPr>
        <w:t>会影响肠胃消化酶的正常分泌，降低小肠的吸收能力，使食欲减退。《食品安全国家标准</w:t>
      </w:r>
      <w:r>
        <w:rPr>
          <w:rFonts w:hint="eastAsia" w:ascii="宋体" w:hAnsi="宋体" w:eastAsia="仿宋_GB2312"/>
          <w:color w:val="auto"/>
          <w:sz w:val="32"/>
          <w:szCs w:val="32"/>
        </w:rPr>
        <w:t xml:space="preserve"> </w:t>
      </w:r>
      <w:r>
        <w:rPr>
          <w:rFonts w:ascii="宋体" w:hAnsi="宋体" w:eastAsia="仿宋_GB2312"/>
          <w:color w:val="auto"/>
          <w:sz w:val="32"/>
          <w:szCs w:val="32"/>
        </w:rPr>
        <w:t>食品添加剂使用标准》（GB 2760</w:t>
      </w:r>
      <w:r>
        <w:rPr>
          <w:rFonts w:hint="eastAsia" w:ascii="宋体" w:hAnsi="宋体" w:eastAsia="仿宋_GB2312"/>
          <w:color w:val="auto"/>
          <w:sz w:val="32"/>
          <w:szCs w:val="32"/>
        </w:rPr>
        <w:t>—</w:t>
      </w:r>
      <w:r>
        <w:rPr>
          <w:rFonts w:ascii="宋体" w:hAnsi="宋体" w:eastAsia="仿宋_GB2312"/>
          <w:color w:val="auto"/>
          <w:sz w:val="32"/>
          <w:szCs w:val="32"/>
        </w:rPr>
        <w:t>2014）中规定，</w:t>
      </w:r>
      <w:r>
        <w:rPr>
          <w:rFonts w:hint="eastAsia" w:ascii="宋体" w:hAnsi="宋体" w:eastAsia="仿宋_GB2312"/>
          <w:color w:val="auto"/>
          <w:sz w:val="32"/>
          <w:szCs w:val="32"/>
        </w:rPr>
        <w:t>发酵面制品中不得使用糖精钠（以糖精计）。发酵面制品中检出糖精钠（以糖精计）的原因，</w:t>
      </w:r>
      <w:r>
        <w:rPr>
          <w:rFonts w:ascii="宋体" w:hAnsi="宋体" w:eastAsia="仿宋_GB2312" w:cs="Times New Roman"/>
          <w:color w:val="auto"/>
          <w:sz w:val="32"/>
          <w:szCs w:val="32"/>
        </w:rPr>
        <w:t>可能是企业为增加产品甜</w:t>
      </w:r>
      <w:r>
        <w:rPr>
          <w:rFonts w:hint="eastAsia" w:ascii="宋体" w:hAnsi="宋体" w:eastAsia="仿宋_GB2312" w:cs="Times New Roman"/>
          <w:color w:val="auto"/>
          <w:sz w:val="32"/>
          <w:szCs w:val="32"/>
        </w:rPr>
        <w:t>度而</w:t>
      </w:r>
      <w:r>
        <w:rPr>
          <w:rFonts w:ascii="宋体" w:hAnsi="宋体" w:eastAsia="仿宋_GB2312" w:cs="Times New Roman"/>
          <w:color w:val="auto"/>
          <w:sz w:val="32"/>
          <w:szCs w:val="32"/>
        </w:rPr>
        <w:t>超范围使用甜味剂。</w:t>
      </w:r>
    </w:p>
    <w:p w14:paraId="2B84DD1C">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eastAsia" w:ascii="宋体" w:hAnsi="宋体" w:eastAsia="黑体"/>
          <w:color w:val="auto"/>
          <w:spacing w:val="-12"/>
          <w:sz w:val="32"/>
          <w:szCs w:val="32"/>
          <w:lang w:val="en-US" w:eastAsia="zh-CN"/>
        </w:rPr>
      </w:pPr>
      <w:r>
        <w:rPr>
          <w:rFonts w:hint="eastAsia" w:ascii="宋体" w:hAnsi="宋体" w:eastAsia="黑体"/>
          <w:color w:val="auto"/>
          <w:spacing w:val="-12"/>
          <w:sz w:val="32"/>
          <w:szCs w:val="32"/>
          <w:lang w:val="en-US" w:eastAsia="zh-CN"/>
        </w:rPr>
        <w:t>二、恩诺沙星</w:t>
      </w:r>
    </w:p>
    <w:p w14:paraId="5A02D307">
      <w:pPr>
        <w:spacing w:line="594" w:lineRule="exact"/>
        <w:ind w:firstLine="640" w:firstLineChars="200"/>
        <w:jc w:val="left"/>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μg/kg。淡水鱼中恩诺沙星超标的原因，可能是在养殖过程中为快速控制疫病，违规加大用药量或不遵守休药期规定，致使产品上市销售时的药物残留量超标。</w:t>
      </w:r>
    </w:p>
    <w:p w14:paraId="6C4248CB">
      <w:pPr>
        <w:keepNext w:val="0"/>
        <w:keepLines w:val="0"/>
        <w:pageBreakBefore w:val="0"/>
        <w:kinsoku/>
        <w:wordWrap/>
        <w:overflowPunct/>
        <w:topLinePunct w:val="0"/>
        <w:autoSpaceDE/>
        <w:autoSpaceDN/>
        <w:bidi w:val="0"/>
        <w:snapToGrid/>
        <w:spacing w:line="594" w:lineRule="exact"/>
        <w:ind w:firstLine="592" w:firstLineChars="200"/>
        <w:jc w:val="left"/>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三</w:t>
      </w:r>
      <w:r>
        <w:rPr>
          <w:rFonts w:hint="eastAsia" w:ascii="宋体" w:hAnsi="宋体" w:eastAsia="黑体"/>
          <w:color w:val="auto"/>
          <w:spacing w:val="-12"/>
          <w:sz w:val="32"/>
          <w:szCs w:val="32"/>
          <w:highlight w:val="none"/>
        </w:rPr>
        <w:t>、苯醚甲环唑</w:t>
      </w:r>
    </w:p>
    <w:p w14:paraId="76736CC6">
      <w:pPr>
        <w:pStyle w:val="2"/>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苯醚甲环唑是高效广谱杀菌剂，对蔬菜和瓜果等多种真菌性病害具有很好的防治作用。食用食品一般不会导致苯醚甲环唑的急性中毒，但长期食用苯醚甲环唑超标的食品，对人体健康也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14:paraId="1F36BBC0">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四、噻虫胺</w:t>
      </w:r>
    </w:p>
    <w:p w14:paraId="5216D9DC">
      <w:pPr>
        <w:spacing w:line="594" w:lineRule="exact"/>
        <w:ind w:firstLine="640" w:firstLineChars="200"/>
        <w:jc w:val="left"/>
        <w:rPr>
          <w:rFonts w:hint="eastAsia" w:ascii="宋体" w:hAnsi="宋体"/>
          <w:color w:val="auto"/>
          <w:lang w:val="en-US" w:eastAsia="zh-CN"/>
        </w:rPr>
      </w:pPr>
      <w:r>
        <w:rPr>
          <w:rFonts w:hint="eastAsia" w:ascii="宋体" w:hAnsi="宋体" w:eastAsia="方正仿宋_GBK" w:cs="方正仿宋_GBK"/>
          <w:color w:val="auto"/>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2763—2021）中规定，</w:t>
      </w:r>
      <w:r>
        <w:rPr>
          <w:rFonts w:hint="eastAsia" w:ascii="宋体" w:hAnsi="宋体" w:eastAsia="仿宋_GB2312" w:cs="Times New Roman"/>
          <w:color w:val="auto"/>
          <w:kern w:val="2"/>
          <w:sz w:val="32"/>
          <w:szCs w:val="32"/>
          <w:lang w:val="en-US" w:eastAsia="zh-CN" w:bidi="ar-SA"/>
        </w:rPr>
        <w:t>噻虫胺在茄果类蔬菜中的最大残留限量为0.05mg/kg。噻虫胺残留超标的原因可能是农产品种植者为加强防病效果超量使用农药，也可能是种植户未严格按照农</w:t>
      </w:r>
      <w:bookmarkStart w:id="0" w:name="_GoBack"/>
      <w:bookmarkEnd w:id="0"/>
      <w:r>
        <w:rPr>
          <w:rFonts w:hint="eastAsia" w:ascii="宋体" w:hAnsi="宋体" w:eastAsia="仿宋_GB2312" w:cs="Times New Roman"/>
          <w:color w:val="auto"/>
          <w:kern w:val="2"/>
          <w:sz w:val="32"/>
          <w:szCs w:val="32"/>
          <w:lang w:val="en-US" w:eastAsia="zh-CN" w:bidi="ar-SA"/>
        </w:rPr>
        <w:t>药安全间隔期，提前采收农作物。</w:t>
      </w: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750A09-CDD2-4769-84DB-2738DD11C32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B1209401-304B-4AC4-8CC7-3A63F0C583D8}"/>
  </w:font>
  <w:font w:name="方正小标宋_GBK">
    <w:panose1 w:val="03000509000000000000"/>
    <w:charset w:val="86"/>
    <w:family w:val="auto"/>
    <w:pitch w:val="default"/>
    <w:sig w:usb0="00000001" w:usb1="080E0000" w:usb2="00000000" w:usb3="00000000" w:csb0="00040000" w:csb1="00000000"/>
    <w:embedRegular r:id="rId3" w:fontKey="{4397D453-BB3E-4DCB-ADFC-FC7B6B403694}"/>
  </w:font>
  <w:font w:name="方正仿宋_GBK">
    <w:panose1 w:val="03000509000000000000"/>
    <w:charset w:val="86"/>
    <w:family w:val="auto"/>
    <w:pitch w:val="default"/>
    <w:sig w:usb0="00000001" w:usb1="080E0000" w:usb2="00000000" w:usb3="00000000" w:csb0="00040000" w:csb1="00000000"/>
    <w:embedRegular r:id="rId4" w:fontKey="{03E61616-6239-4D82-A7D3-5C72CC98EAB5}"/>
  </w:font>
  <w:font w:name="仿宋_GB2312">
    <w:altName w:val="仿宋"/>
    <w:panose1 w:val="02010609030101010101"/>
    <w:charset w:val="86"/>
    <w:family w:val="modern"/>
    <w:pitch w:val="default"/>
    <w:sig w:usb0="00000000" w:usb1="00000000" w:usb2="00000000" w:usb3="00000000" w:csb0="00040000" w:csb1="00000000"/>
    <w:embedRegular r:id="rId5" w:fontKey="{BA10A80D-6B92-472C-8503-96010009A46F}"/>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60024"/>
      <w:docPartObj>
        <w:docPartGallery w:val="autotext"/>
      </w:docPartObj>
    </w:sdtPr>
    <w:sdtContent>
      <w:p w14:paraId="0102FD67">
        <w:pPr>
          <w:pStyle w:val="6"/>
          <w:jc w:val="center"/>
        </w:pPr>
        <w:r>
          <w:fldChar w:fldCharType="begin"/>
        </w:r>
        <w:r>
          <w:instrText xml:space="preserve">PAGE   \* MERGEFORMAT</w:instrText>
        </w:r>
        <w:r>
          <w:fldChar w:fldCharType="separate"/>
        </w:r>
        <w:r>
          <w:rPr>
            <w:lang w:val="zh-CN"/>
          </w:rPr>
          <w:t>4</w:t>
        </w:r>
        <w:r>
          <w:fldChar w:fldCharType="end"/>
        </w:r>
      </w:p>
    </w:sdtContent>
  </w:sdt>
  <w:p w14:paraId="12FA7481">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FEF79E">
    <w:pPr>
      <w:pStyle w:val="6"/>
    </w:pPr>
  </w:p>
  <w:p w14:paraId="2836AA12">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5471C4"/>
    <w:rsid w:val="04553F6E"/>
    <w:rsid w:val="04C76D91"/>
    <w:rsid w:val="04D4291E"/>
    <w:rsid w:val="04EB64FF"/>
    <w:rsid w:val="05164C23"/>
    <w:rsid w:val="07DB4775"/>
    <w:rsid w:val="08F07F5B"/>
    <w:rsid w:val="09C57F9D"/>
    <w:rsid w:val="0AAD14F9"/>
    <w:rsid w:val="0AE1251E"/>
    <w:rsid w:val="0BAB600D"/>
    <w:rsid w:val="0BAF665A"/>
    <w:rsid w:val="0C4E3D58"/>
    <w:rsid w:val="0D336E17"/>
    <w:rsid w:val="0D870F11"/>
    <w:rsid w:val="0DF06AB6"/>
    <w:rsid w:val="0E4A6D82"/>
    <w:rsid w:val="0E611762"/>
    <w:rsid w:val="0EAF6971"/>
    <w:rsid w:val="0EF669E1"/>
    <w:rsid w:val="0FED6590"/>
    <w:rsid w:val="101E7775"/>
    <w:rsid w:val="10DC1574"/>
    <w:rsid w:val="1198698C"/>
    <w:rsid w:val="11AA7966"/>
    <w:rsid w:val="12096398"/>
    <w:rsid w:val="13622204"/>
    <w:rsid w:val="13866C43"/>
    <w:rsid w:val="13A32481"/>
    <w:rsid w:val="141679B1"/>
    <w:rsid w:val="144813FA"/>
    <w:rsid w:val="150258D5"/>
    <w:rsid w:val="15205ED3"/>
    <w:rsid w:val="159E2C66"/>
    <w:rsid w:val="15B85137"/>
    <w:rsid w:val="16041BA6"/>
    <w:rsid w:val="16EF3DAF"/>
    <w:rsid w:val="175005C5"/>
    <w:rsid w:val="187854F2"/>
    <w:rsid w:val="18C66F88"/>
    <w:rsid w:val="1B986887"/>
    <w:rsid w:val="1D231C99"/>
    <w:rsid w:val="1D2A530E"/>
    <w:rsid w:val="1DFF4B09"/>
    <w:rsid w:val="1E8219AC"/>
    <w:rsid w:val="1F0653D6"/>
    <w:rsid w:val="1F6B795B"/>
    <w:rsid w:val="1FF00B97"/>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0E2601"/>
    <w:rsid w:val="39124ABE"/>
    <w:rsid w:val="3A512225"/>
    <w:rsid w:val="3A8D72B7"/>
    <w:rsid w:val="3ACA22B9"/>
    <w:rsid w:val="3B797920"/>
    <w:rsid w:val="3BF375EE"/>
    <w:rsid w:val="3CEE66E0"/>
    <w:rsid w:val="3D2F4655"/>
    <w:rsid w:val="3D8A5562"/>
    <w:rsid w:val="3D9B7F3D"/>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2263C"/>
    <w:rsid w:val="6A592AD1"/>
    <w:rsid w:val="6A7A5576"/>
    <w:rsid w:val="6B316880"/>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2E1372"/>
    <w:rsid w:val="74A44FDB"/>
    <w:rsid w:val="75343153"/>
    <w:rsid w:val="75856B41"/>
    <w:rsid w:val="76285DB6"/>
    <w:rsid w:val="77661EB3"/>
    <w:rsid w:val="77777B42"/>
    <w:rsid w:val="795D5ACB"/>
    <w:rsid w:val="7A9C0875"/>
    <w:rsid w:val="7AE845AB"/>
    <w:rsid w:val="7C641F9C"/>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836</Words>
  <Characters>889</Characters>
  <Lines>16</Lines>
  <Paragraphs>4</Paragraphs>
  <TotalTime>2</TotalTime>
  <ScaleCrop>false</ScaleCrop>
  <LinksUpToDate>false</LinksUpToDate>
  <CharactersWithSpaces>897</CharactersWithSpaces>
  <Application>WPS Office_12.1.0.17440_F1E327BC-269C-435d-A152-05C5408002CA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2024-07-05T07:50:08Z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2052-12.1.0.17440</vt:lpwstr>
  </property>
  <property fmtid="{D5CDD505-2E9C-101B-9397-08002B2CF9AE}" pid="3" name="ICV">
    <vt:lpwstr>665DFCFFE0C14853875C9B62468006AB</vt:lpwstr>
  </property>
</Properties>
</file>