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40" w:lineRule="exact"/>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40" w:lineRule="exact"/>
        <w:jc w:val="both"/>
        <w:textAlignment w:val="auto"/>
        <w:rPr>
          <w:rFonts w:hint="eastAsia" w:ascii="宋体" w:hAnsi="宋体"/>
          <w:color w:val="000000" w:themeColor="text1"/>
          <w:sz w:val="32"/>
          <w:szCs w:val="32"/>
          <w:u w:val="none"/>
          <w14:textFill>
            <w14:solidFill>
              <w14:schemeClr w14:val="tx1"/>
            </w14:solidFill>
          </w14:textFill>
        </w:rPr>
      </w:pP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40" w:lineRule="exac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40" w:lineRule="exact"/>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keepNext w:val="0"/>
        <w:keepLines w:val="0"/>
        <w:pageBreakBefore w:val="0"/>
        <w:numPr>
          <w:ilvl w:val="0"/>
          <w:numId w:val="0"/>
        </w:numPr>
        <w:kinsoku/>
        <w:overflowPunct/>
        <w:topLinePunct w:val="0"/>
        <w:autoSpaceDE/>
        <w:autoSpaceDN/>
        <w:bidi w:val="0"/>
        <w:adjustRightInd/>
        <w:snapToGrid/>
        <w:spacing w:line="600" w:lineRule="atLeast"/>
        <w:ind w:left="630" w:leftChars="0"/>
        <w:jc w:val="both"/>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一、霉菌</w:t>
      </w:r>
    </w:p>
    <w:p>
      <w:pPr>
        <w:pStyle w:val="2"/>
        <w:keepNext w:val="0"/>
        <w:keepLines w:val="0"/>
        <w:pageBreakBefore w:val="0"/>
        <w:numPr>
          <w:ilvl w:val="0"/>
          <w:numId w:val="0"/>
        </w:numPr>
        <w:kinsoku/>
        <w:overflowPunct/>
        <w:topLinePunct w:val="0"/>
        <w:autoSpaceDE/>
        <w:bidi w:val="0"/>
        <w:adjustRightInd/>
        <w:snapToGrid/>
        <w:spacing w:after="0" w:line="600" w:lineRule="atLeast"/>
        <w:ind w:firstLine="640" w:firstLineChars="200"/>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霉菌是评价食品质量安全的一项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超标的原因，可能是原料或包装材料受到霉菌污染，</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也可能是生产加工过程中卫生条件控制不严格消毒不彻底，还可能与产品包装密封不严、储运条件控制不当等有关</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240" w:lineRule="auto"/>
        <w:ind w:firstLine="640" w:firstLineChars="200"/>
        <w:textAlignment w:val="auto"/>
        <w:rPr>
          <w:rFonts w:hint="default" w:ascii="黑体" w:hAnsi="黑体" w:eastAsia="黑体" w:cs="仿宋_GB2312"/>
          <w:color w:val="auto"/>
          <w:kern w:val="2"/>
          <w:sz w:val="32"/>
          <w:szCs w:val="32"/>
          <w:u w:val="none"/>
          <w:lang w:val="en-US"/>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二、菌落总数</w:t>
      </w:r>
    </w:p>
    <w:p>
      <w:pPr>
        <w:keepNext w:val="0"/>
        <w:keepLines w:val="0"/>
        <w:pageBreakBefore w:val="0"/>
        <w:kinsoku/>
        <w:wordWrap w:val="0"/>
        <w:overflowPunct/>
        <w:topLinePunct w:val="0"/>
        <w:autoSpaceDE/>
        <w:autoSpaceDN w:val="0"/>
        <w:bidi w:val="0"/>
        <w:adjustRightInd/>
        <w:snapToGrid/>
        <w:spacing w:line="240" w:lineRule="auto"/>
        <w:ind w:firstLine="627" w:firstLineChars="196"/>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菌落总数是指示性微生物指标，用以</w:t>
      </w:r>
      <w:bookmarkStart w:id="0" w:name="_GoBack"/>
      <w:bookmarkEnd w:id="0"/>
      <w:r>
        <w:rPr>
          <w:rFonts w:hint="eastAsia" w:ascii="仿宋_GB2312" w:hAnsi="仿宋_GB2312" w:eastAsia="仿宋_GB2312" w:cs="仿宋_GB2312"/>
          <w:color w:val="000000"/>
          <w:kern w:val="2"/>
          <w:sz w:val="32"/>
          <w:szCs w:val="32"/>
          <w:u w:val="none"/>
          <w:lang w:val="en-US" w:eastAsia="zh-CN" w:bidi="ar-SA"/>
        </w:rPr>
        <w:t>反映食品卫生状况。超标原因可能是生产企业所使用的原辅料初始菌落数较高；也可能是生产加工过程中卫生条件控制不严格；还可能与产品包装密封不严、储运条件控制不当等有关。</w:t>
      </w:r>
    </w:p>
    <w:p>
      <w:pPr>
        <w:pStyle w:val="7"/>
        <w:widowControl/>
        <w:wordWrap w:val="0"/>
        <w:spacing w:before="0" w:beforeAutospacing="0" w:after="0" w:afterAutospacing="0" w:line="600" w:lineRule="exact"/>
        <w:ind w:firstLine="640" w:firstLineChars="200"/>
        <w:rPr>
          <w:rFonts w:hint="eastAsia" w:ascii="黑体" w:hAnsi="黑体" w:eastAsia="黑体" w:cs="仿宋_GB2312"/>
          <w:color w:val="auto"/>
          <w:kern w:val="2"/>
          <w:sz w:val="32"/>
          <w:szCs w:val="32"/>
          <w:u w:val="none"/>
        </w:rPr>
      </w:pPr>
      <w:r>
        <w:rPr>
          <w:rFonts w:hint="eastAsia" w:ascii="黑体" w:hAnsi="黑体" w:eastAsia="黑体" w:cs="仿宋_GB2312"/>
          <w:color w:val="auto"/>
          <w:kern w:val="2"/>
          <w:sz w:val="32"/>
          <w:szCs w:val="32"/>
          <w:u w:val="none"/>
          <w:lang w:val="en-US" w:eastAsia="zh-CN"/>
        </w:rPr>
        <w:t>三、</w:t>
      </w:r>
      <w:r>
        <w:rPr>
          <w:rFonts w:hint="eastAsia" w:ascii="黑体" w:hAnsi="黑体" w:eastAsia="黑体" w:cs="仿宋_GB2312"/>
          <w:color w:val="auto"/>
          <w:kern w:val="2"/>
          <w:sz w:val="32"/>
          <w:szCs w:val="32"/>
          <w:u w:val="none"/>
        </w:rPr>
        <w:t>霉菌</w:t>
      </w:r>
      <w:r>
        <w:rPr>
          <w:rFonts w:hint="eastAsia" w:ascii="黑体" w:hAnsi="黑体" w:eastAsia="黑体" w:cs="仿宋_GB2312"/>
          <w:color w:val="auto"/>
          <w:kern w:val="2"/>
          <w:sz w:val="32"/>
          <w:szCs w:val="32"/>
          <w:u w:val="none"/>
          <w:lang w:val="en-US" w:eastAsia="zh-CN"/>
        </w:rPr>
        <w:t>和</w:t>
      </w:r>
      <w:r>
        <w:rPr>
          <w:rFonts w:hint="eastAsia" w:ascii="黑体" w:hAnsi="黑体" w:eastAsia="黑体" w:cs="仿宋_GB2312"/>
          <w:color w:val="auto"/>
          <w:kern w:val="2"/>
          <w:sz w:val="32"/>
          <w:szCs w:val="32"/>
          <w:u w:val="none"/>
        </w:rPr>
        <w:t>酵母菌</w:t>
      </w:r>
    </w:p>
    <w:p>
      <w:pPr>
        <w:keepNext w:val="0"/>
        <w:keepLines w:val="0"/>
        <w:pageBreakBefore w:val="0"/>
        <w:kinsoku/>
        <w:wordWrap w:val="0"/>
        <w:overflowPunct/>
        <w:topLinePunct w:val="0"/>
        <w:autoSpaceDE/>
        <w:autoSpaceDN w:val="0"/>
        <w:bidi w:val="0"/>
        <w:adjustRightInd/>
        <w:snapToGrid/>
        <w:spacing w:line="240" w:lineRule="auto"/>
        <w:ind w:firstLine="627" w:firstLineChars="196"/>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霉菌和酵母是评价食品质量安全的指示性指标，食品中霉菌和酵母数是指食品检样经过处理，在一定条件下培养后，计数所得1g或1mL检样中所形成的霉菌菌落数和酵母菌落数。如果食品中霉菌和酵母数超标，会降低食品食用价值，严重情况下，可能会危害人体健康。红薯淀粉中霉菌和酵母数超标的原因，可能是原料或包装材料受到污染，也可能是产品在生产加工过程中环境条件控制不到位，还可能与产品储运不当有关。</w:t>
      </w:r>
    </w:p>
    <w:p>
      <w:pPr>
        <w:keepNext w:val="0"/>
        <w:keepLines w:val="0"/>
        <w:pageBreakBefore w:val="0"/>
        <w:kinsoku/>
        <w:wordWrap w:val="0"/>
        <w:overflowPunct/>
        <w:topLinePunct w:val="0"/>
        <w:autoSpaceDE/>
        <w:autoSpaceDN w:val="0"/>
        <w:bidi w:val="0"/>
        <w:adjustRightInd/>
        <w:snapToGrid/>
        <w:spacing w:line="600" w:lineRule="atLeast"/>
        <w:ind w:firstLine="640" w:firstLineChars="200"/>
        <w:jc w:val="left"/>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四、山梨酸及其钾盐(以山梨酸计)</w:t>
      </w:r>
    </w:p>
    <w:p>
      <w:pPr>
        <w:pStyle w:val="2"/>
        <w:keepNext w:val="0"/>
        <w:keepLines w:val="0"/>
        <w:pageBreakBefore w:val="0"/>
        <w:numPr>
          <w:ilvl w:val="0"/>
          <w:numId w:val="0"/>
        </w:numPr>
        <w:kinsoku/>
        <w:overflowPunct/>
        <w:topLinePunct w:val="0"/>
        <w:autoSpaceDE/>
        <w:bidi w:val="0"/>
        <w:adjustRightInd/>
        <w:snapToGrid/>
        <w:spacing w:after="0" w:line="600" w:lineRule="atLeas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山梨酸及山梨酸钾是食品防腐剂，具有广泛的抑菌效果和防霉性能。山梨酸可以被人体的代谢系统吸收而迅速分解，只有摄入量在食品安全限量范围内并不影响人体健康。造成山梨酸及其钾盐（以山梨酸计）不合格的原因，可能是企业为延长产品保质期或者为弥补产品生产中卫生条件不佳超量使用而导致。</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五、毒死蜱</w:t>
      </w:r>
    </w:p>
    <w:p>
      <w:pPr>
        <w:pStyle w:val="2"/>
        <w:keepNext w:val="0"/>
        <w:keepLines w:val="0"/>
        <w:pageBreakBefore w:val="0"/>
        <w:numPr>
          <w:ilvl w:val="0"/>
          <w:numId w:val="0"/>
        </w:numPr>
        <w:kinsoku/>
        <w:overflowPunct/>
        <w:topLinePunct w:val="0"/>
        <w:autoSpaceDE/>
        <w:bidi w:val="0"/>
        <w:adjustRightInd/>
        <w:snapToGrid/>
        <w:spacing w:after="0" w:line="600" w:lineRule="atLeas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毒死蜱是一种具有触杀、胃毒和熏蒸作用的有机磷杀虫剂，具有胃毒、触杀、熏蒸三重作用，对水稻、小麦、棉花、果树、蔬菜、茶树上多种咀嚼式和刺吸式</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fldChar w:fldCharType="begin"/>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instrText xml:space="preserve"> HYPERLINK "https://baike.baidu.com/item/%E5%8F%A3%E5%99%A8" \t "https://baike.baidu.com/item/%E6%B0%AF%E5%90%A1%E7%A1%AB%E7%A3%B7/_blank" </w:instrTex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fldChar w:fldCharType="separate"/>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口器</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fldChar w:fldCharType="end"/>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害虫均具有较好防效。《食品安全国家标准 食品中农药最大残留限量》（GB2763—2021）中规定，生姜中毒死蜱的最大残留限量为0.02mg/kg。食用农产品中毒死蜱超标，可能是种植者未严格按照标准规定施药或施药后未严格落实农药安全间隔期造成。</w:t>
      </w:r>
    </w:p>
    <w:p>
      <w:pPr>
        <w:keepNext w:val="0"/>
        <w:keepLines w:val="0"/>
        <w:pageBreakBefore w:val="0"/>
        <w:kinsoku/>
        <w:overflowPunct/>
        <w:topLinePunct w:val="0"/>
        <w:autoSpaceDE/>
        <w:autoSpaceDN/>
        <w:bidi w:val="0"/>
        <w:adjustRightInd/>
        <w:snapToGrid/>
        <w:spacing w:line="600" w:lineRule="atLeast"/>
        <w:ind w:firstLine="640" w:firstLineChars="200"/>
        <w:jc w:val="both"/>
        <w:textAlignment w:val="auto"/>
        <w:rPr>
          <w:rFonts w:hint="default" w:ascii="黑体" w:hAnsi="黑体" w:eastAsia="黑体" w:cs="Times New Roman"/>
          <w:color w:val="000000"/>
          <w:kern w:val="2"/>
          <w:sz w:val="32"/>
          <w:szCs w:val="32"/>
          <w:u w:val="none"/>
          <w:lang w:val="en-US" w:eastAsia="zh-CN" w:bidi="ar-SA"/>
        </w:rPr>
      </w:pPr>
      <w:r>
        <w:rPr>
          <w:rFonts w:hint="eastAsia" w:ascii="黑体" w:hAnsi="黑体" w:eastAsia="黑体" w:cs="Times New Roman"/>
          <w:color w:val="000000"/>
          <w:kern w:val="2"/>
          <w:sz w:val="32"/>
          <w:szCs w:val="32"/>
          <w:u w:val="none"/>
          <w:lang w:val="en-US" w:eastAsia="zh-CN" w:bidi="ar-SA"/>
        </w:rPr>
        <w:t>六、</w:t>
      </w:r>
      <w:r>
        <w:rPr>
          <w:rFonts w:hint="default" w:ascii="黑体" w:hAnsi="黑体" w:eastAsia="黑体" w:cs="Times New Roman"/>
          <w:color w:val="000000"/>
          <w:kern w:val="2"/>
          <w:sz w:val="32"/>
          <w:szCs w:val="32"/>
          <w:u w:val="none"/>
          <w:lang w:val="en-US" w:eastAsia="zh-CN" w:bidi="ar-SA"/>
        </w:rPr>
        <w:t>噻虫胺</w:t>
      </w:r>
    </w:p>
    <w:p>
      <w:pPr>
        <w:pStyle w:val="2"/>
        <w:keepNext w:val="0"/>
        <w:keepLines w:val="0"/>
        <w:pageBreakBefore w:val="0"/>
        <w:numPr>
          <w:ilvl w:val="0"/>
          <w:numId w:val="0"/>
        </w:numPr>
        <w:kinsoku/>
        <w:overflowPunct/>
        <w:topLinePunct w:val="0"/>
        <w:autoSpaceDE/>
        <w:bidi w:val="0"/>
        <w:adjustRightInd/>
        <w:snapToGrid/>
        <w:spacing w:after="0" w:line="600" w:lineRule="atLeas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噻虫胺是一种有机化合物，是新烟碱类中的一种杀虫剂，是一类高效安全、高选择性的新型杀虫剂。该药具有高效广谱、毒性较低等优点。蔬菜等农产品中噻虫胺残留量超标，可能为种植者未严格按照《食品安全国家标准 食品中农药最大残留限量》（GB 2763—2021）中规定用量使用，或者使用后未严格落实农药使用后安全间隔期有关规定而导致。</w:t>
      </w:r>
    </w:p>
    <w:p>
      <w:pPr>
        <w:keepNext w:val="0"/>
        <w:keepLines w:val="0"/>
        <w:pageBreakBefore w:val="0"/>
        <w:kinsoku/>
        <w:overflowPunct/>
        <w:topLinePunct w:val="0"/>
        <w:autoSpaceDE/>
        <w:autoSpaceDN/>
        <w:bidi w:val="0"/>
        <w:snapToGrid/>
        <w:spacing w:line="600" w:lineRule="exact"/>
        <w:ind w:firstLine="592" w:firstLineChars="200"/>
        <w:jc w:val="both"/>
        <w:textAlignment w:val="auto"/>
        <w:rPr>
          <w:rFonts w:ascii="黑体" w:hAnsi="黑体" w:eastAsia="黑体"/>
          <w:spacing w:val="-12"/>
          <w:sz w:val="32"/>
          <w:szCs w:val="32"/>
        </w:rPr>
      </w:pPr>
      <w:r>
        <w:rPr>
          <w:rFonts w:hint="eastAsia" w:ascii="黑体" w:hAnsi="黑体" w:eastAsia="黑体"/>
          <w:spacing w:val="-12"/>
          <w:sz w:val="32"/>
          <w:szCs w:val="32"/>
          <w:lang w:val="en-US" w:eastAsia="zh-CN"/>
        </w:rPr>
        <w:t>七、</w:t>
      </w:r>
      <w:r>
        <w:rPr>
          <w:rFonts w:hint="eastAsia" w:ascii="黑体" w:hAnsi="黑体" w:eastAsia="黑体"/>
          <w:spacing w:val="-12"/>
          <w:sz w:val="32"/>
          <w:szCs w:val="32"/>
        </w:rPr>
        <w:t>铅（以Pb计）</w:t>
      </w:r>
    </w:p>
    <w:p>
      <w:pPr>
        <w:pStyle w:val="7"/>
        <w:keepNext w:val="0"/>
        <w:keepLines w:val="0"/>
        <w:pageBreakBefore w:val="0"/>
        <w:widowControl/>
        <w:kinsoku/>
        <w:overflowPunct/>
        <w:topLinePunct w:val="0"/>
        <w:autoSpaceDE/>
        <w:autoSpaceDN/>
        <w:bidi w:val="0"/>
        <w:adjustRightInd w:val="0"/>
        <w:snapToGrid/>
        <w:spacing w:before="0" w:beforeLines="0" w:beforeAutospacing="0" w:after="0" w:afterLines="0" w:afterAutospacing="0" w:line="600" w:lineRule="exact"/>
        <w:ind w:firstLine="640" w:firstLineChars="200"/>
        <w:jc w:val="both"/>
        <w:textAlignment w:val="auto"/>
        <w:rPr>
          <w:rFonts w:hint="eastAsia" w:ascii="Times New Roman" w:hAnsi="Times New Roman" w:eastAsia="仿宋_GB2312" w:cs="Times New Roman"/>
          <w:color w:val="000000" w:themeColor="text1"/>
          <w:kern w:val="0"/>
          <w:sz w:val="32"/>
          <w:szCs w:val="32"/>
          <w:u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u w:val="none"/>
          <w:lang w:val="en-US" w:eastAsia="zh-CN" w:bidi="ar-SA"/>
          <w14:textFill>
            <w14:solidFill>
              <w14:schemeClr w14:val="tx1"/>
            </w14:solidFill>
          </w14:textFill>
        </w:rPr>
        <w:t>铅是一种能够在生物体内蓄积且排除缓慢的重金属污染物。铅超标的原因，可能是企业在生产时未对原料进行严格验收或为降低产品成本而采用劣质原料，导致生产原料或辅料中的铅带入；也可能是在食品生产加工过程中，加工设备、容器、包装材料中的铅迁移带入食品。</w:t>
      </w:r>
    </w:p>
    <w:p>
      <w:pPr>
        <w:keepNext w:val="0"/>
        <w:keepLines w:val="0"/>
        <w:pageBreakBefore w:val="0"/>
        <w:kinsoku/>
        <w:overflowPunct/>
        <w:topLinePunct w:val="0"/>
        <w:autoSpaceDE/>
        <w:autoSpaceDN/>
        <w:bidi w:val="0"/>
        <w:snapToGrid/>
        <w:spacing w:line="600" w:lineRule="exact"/>
        <w:ind w:firstLine="592" w:firstLineChars="200"/>
        <w:jc w:val="both"/>
        <w:textAlignment w:val="auto"/>
        <w:rPr>
          <w:rFonts w:hint="eastAsia" w:ascii="Times New Roman" w:hAnsi="Times New Roman" w:eastAsia="黑体" w:cs="Times New Roman"/>
          <w:color w:val="000000" w:themeColor="text1"/>
          <w:kern w:val="0"/>
          <w:sz w:val="32"/>
          <w:szCs w:val="32"/>
          <w:u w:val="none"/>
          <w:lang w:val="en-US" w:eastAsia="zh-CN" w:bidi="ar-SA"/>
          <w14:textFill>
            <w14:solidFill>
              <w14:schemeClr w14:val="tx1"/>
            </w14:solidFill>
          </w14:textFill>
        </w:rPr>
      </w:pPr>
      <w:r>
        <w:rPr>
          <w:rFonts w:hint="eastAsia" w:ascii="黑体" w:hAnsi="黑体" w:eastAsia="黑体"/>
          <w:spacing w:val="-12"/>
          <w:sz w:val="32"/>
          <w:szCs w:val="32"/>
          <w:lang w:val="en-US" w:eastAsia="zh-CN"/>
        </w:rPr>
        <w:t>八、恩诺沙星</w:t>
      </w:r>
    </w:p>
    <w:p>
      <w:pPr>
        <w:pStyle w:val="2"/>
        <w:keepNext w:val="0"/>
        <w:keepLines w:val="0"/>
        <w:pageBreakBefore w:val="0"/>
        <w:numPr>
          <w:ilvl w:val="0"/>
          <w:numId w:val="0"/>
        </w:numPr>
        <w:kinsoku/>
        <w:overflowPunct/>
        <w:topLinePunct w:val="0"/>
        <w:autoSpaceDE/>
        <w:bidi w:val="0"/>
        <w:adjustRightInd/>
        <w:snapToGrid/>
        <w:spacing w:after="0" w:line="600" w:lineRule="atLeas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食品安全国家标准 食品中兽药最大残留限量》（GB 31650—2019）中规定，恩诺沙星在鱼的皮和肉中最大残留限量值为100μg/kg。淡水鱼中恩诺沙星超标的原因，可能是养殖过程中为快速控制疫病，违规加大用药量或不遵守休药期规定，致使产品上市销售时的药物残留量超标。</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atLeast"/>
        <w:ind w:firstLine="640"/>
        <w:textAlignment w:val="auto"/>
        <w:rPr>
          <w:rFonts w:hint="eastAsia" w:ascii="黑体" w:hAnsi="黑体" w:eastAsia="黑体" w:cs="仿宋_GB2312"/>
          <w:color w:val="000000" w:themeColor="text1"/>
          <w:kern w:val="2"/>
          <w:sz w:val="32"/>
          <w:szCs w:val="32"/>
          <w:u w:val="none"/>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九、</w:t>
      </w:r>
      <w:r>
        <w:rPr>
          <w:rFonts w:hint="eastAsia" w:ascii="黑体" w:hAnsi="黑体" w:eastAsia="黑体" w:cs="仿宋_GB2312"/>
          <w:color w:val="000000" w:themeColor="text1"/>
          <w:kern w:val="2"/>
          <w:sz w:val="32"/>
          <w:szCs w:val="32"/>
          <w:u w:val="none"/>
          <w14:textFill>
            <w14:solidFill>
              <w14:schemeClr w14:val="tx1"/>
            </w14:solidFill>
          </w14:textFill>
        </w:rPr>
        <w:t>吡虫啉</w:t>
      </w:r>
    </w:p>
    <w:p>
      <w:pPr>
        <w:pStyle w:val="2"/>
        <w:keepNext w:val="0"/>
        <w:keepLines w:val="0"/>
        <w:pageBreakBefore w:val="0"/>
        <w:numPr>
          <w:ilvl w:val="0"/>
          <w:numId w:val="0"/>
        </w:numPr>
        <w:kinsoku/>
        <w:overflowPunct/>
        <w:topLinePunct w:val="0"/>
        <w:autoSpaceDE/>
        <w:bidi w:val="0"/>
        <w:adjustRightInd/>
        <w:snapToGrid/>
        <w:spacing w:after="0" w:line="600" w:lineRule="atLeas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吡虫啉是烟碱类超高效杀虫剂，具有广谱、高效、低毒、低残留，害虫不易产生抗性，并有触杀、胃毒和内吸等多重作用。产品药效和温度呈正相关，温度高，杀虫效果好，主要用于防治刺吸式口器害虫。《食品安全国家标准 食品中农药最大残留限量》（GB 2763-2021）中规定茶叶中</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吡虫啉</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最大残留限量为0.5mg/kg。呲虫啉超标的原因可能是种植环节没有按照农药使用规范用药。</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00" w:lineRule="exact"/>
        <w:ind w:firstLine="640" w:firstLineChars="200"/>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十、酸价</w:t>
      </w:r>
    </w:p>
    <w:p>
      <w:pPr>
        <w:pStyle w:val="2"/>
        <w:keepNext w:val="0"/>
        <w:keepLines w:val="0"/>
        <w:pageBreakBefore w:val="0"/>
        <w:numPr>
          <w:ilvl w:val="0"/>
          <w:numId w:val="0"/>
        </w:numPr>
        <w:kinsoku/>
        <w:overflowPunct/>
        <w:topLinePunct w:val="0"/>
        <w:autoSpaceDE/>
        <w:bidi w:val="0"/>
        <w:adjustRightInd/>
        <w:snapToGrid/>
        <w:spacing w:after="0" w:line="600" w:lineRule="atLeas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酸价是脂肪中游离脂肪酸含量的标志，也是衡量脂肪质量的重要标志。对于含油脂食品，酸价可作为衡量其是否酸败的指标之一。酸价超标的原因可能是产品所用的油脂因保存不当或存放过久导致产品中的油脂发生氧化；也可能是生产过程中对操作工艺控制不严，促使其含有的油脂加速氧化变质。</w:t>
      </w:r>
    </w:p>
    <w:p>
      <w:pPr>
        <w:keepNext w:val="0"/>
        <w:keepLines w:val="0"/>
        <w:pageBreakBefore w:val="0"/>
        <w:kinsoku/>
        <w:wordWrap w:val="0"/>
        <w:overflowPunct/>
        <w:topLinePunct w:val="0"/>
        <w:autoSpaceDE/>
        <w:autoSpaceDN w:val="0"/>
        <w:bidi w:val="0"/>
        <w:adjustRightInd/>
        <w:snapToGrid/>
        <w:spacing w:line="600" w:lineRule="atLeast"/>
        <w:ind w:firstLine="640" w:firstLineChars="200"/>
        <w:jc w:val="left"/>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十一、大肠菌群</w:t>
      </w:r>
    </w:p>
    <w:p>
      <w:pPr>
        <w:keepNext w:val="0"/>
        <w:keepLines w:val="0"/>
        <w:pageBreakBefore w:val="0"/>
        <w:numPr>
          <w:ilvl w:val="0"/>
          <w:numId w:val="0"/>
        </w:numPr>
        <w:kinsoku/>
        <w:overflowPunct/>
        <w:topLinePunct w:val="0"/>
        <w:autoSpaceDE/>
        <w:bidi w:val="0"/>
        <w:adjustRightInd/>
        <w:snapToGrid/>
        <w:spacing w:line="600" w:lineRule="atLeas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大肠菌群，是国内外通用的食品污染常用指示菌之一。检出大肠菌群，是有被致病菌(如沙门菌、志贺菌、致病性大肠杆菌)污染的可能。大肠菌群超标的原因可能是由于产品受到了来自原料、包材、人员、设备等方面的污染，或产品储运条件不当而导致。</w:t>
      </w:r>
    </w:p>
    <w:p>
      <w:pPr>
        <w:pStyle w:val="7"/>
        <w:widowControl/>
        <w:wordWrap w:val="0"/>
        <w:spacing w:before="0" w:beforeAutospacing="0" w:after="0" w:afterAutospacing="0" w:line="600" w:lineRule="exact"/>
        <w:ind w:firstLine="640" w:firstLineChars="200"/>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十二、4-氯苯氧乙酸钠(以4-氯苯氧乙酸计)</w:t>
      </w:r>
    </w:p>
    <w:p>
      <w:pPr>
        <w:keepNext w:val="0"/>
        <w:keepLines w:val="0"/>
        <w:pageBreakBefore w:val="0"/>
        <w:widowControl/>
        <w:numPr>
          <w:ilvl w:val="0"/>
          <w:numId w:val="1"/>
        </w:numPr>
        <w:suppressLineNumbers w:val="0"/>
        <w:kinsoku/>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氯苯氧乙酸钠为白色针状或棱状结晶，略有酚味。易溶于水，性质稳定，长期存放不变质。酸化后生成对氯苯氧乙酸，溶于乙醚、乙醇等有机溶剂。4-氯苯氧乙酸钠是中枢神经兴奋药甲氯芬酯的中间体，原用于植物生长调节</w:t>
      </w:r>
      <w:r>
        <w:rPr>
          <w:rFonts w:hint="default" w:ascii="仿宋_GB2312" w:hAnsi="仿宋_GB2312" w:eastAsia="仿宋_GB2312" w:cs="仿宋_GB2312"/>
          <w:color w:val="auto"/>
          <w:kern w:val="2"/>
          <w:sz w:val="32"/>
          <w:szCs w:val="32"/>
          <w:u w:val="none"/>
          <w:lang w:val="en-US" w:eastAsia="zh-CN" w:bidi="ar-SA"/>
        </w:rPr>
        <w:t>。国内商品名为防落素、保果灵。4-氯苯氧乙酸</w:t>
      </w:r>
      <w:r>
        <w:rPr>
          <w:rFonts w:hint="eastAsia" w:ascii="仿宋_GB2312" w:hAnsi="仿宋_GB2312" w:eastAsia="仿宋_GB2312" w:cs="仿宋_GB2312"/>
          <w:color w:val="auto"/>
          <w:kern w:val="2"/>
          <w:sz w:val="32"/>
          <w:szCs w:val="32"/>
          <w:u w:val="none"/>
          <w:lang w:val="en-US" w:eastAsia="zh-CN" w:bidi="ar-SA"/>
        </w:rPr>
        <w:t>钠</w:t>
      </w:r>
      <w:r>
        <w:rPr>
          <w:rFonts w:hint="default" w:ascii="仿宋_GB2312" w:hAnsi="仿宋_GB2312" w:eastAsia="仿宋_GB2312" w:cs="仿宋_GB2312"/>
          <w:color w:val="auto"/>
          <w:kern w:val="2"/>
          <w:sz w:val="32"/>
          <w:szCs w:val="32"/>
          <w:u w:val="none"/>
          <w:lang w:val="en-US" w:eastAsia="zh-CN" w:bidi="ar-SA"/>
        </w:rPr>
        <w:t>可以促进植物体内的生物合成和生物转移，不仅可防止落花落果、提高做果率、增进果实生长速度、促进提前成熟，还能达到改善植物品质之目的，同时它还有除草剂的作用</w:t>
      </w:r>
      <w:r>
        <w:rPr>
          <w:rFonts w:hint="eastAsia" w:ascii="仿宋_GB2312" w:hAnsi="仿宋_GB2312" w:eastAsia="仿宋_GB2312" w:cs="仿宋_GB2312"/>
          <w:color w:val="auto"/>
          <w:kern w:val="2"/>
          <w:sz w:val="32"/>
          <w:szCs w:val="32"/>
          <w:u w:val="none"/>
          <w:lang w:val="en-US" w:eastAsia="zh-CN" w:bidi="ar-SA"/>
        </w:rPr>
        <w:t>。按照相关规定，4-氯苯氧乙酸钠在豆芽生产过程中</w:t>
      </w:r>
      <w:r>
        <w:rPr>
          <w:rFonts w:hint="default" w:ascii="仿宋_GB2312" w:hAnsi="仿宋_GB2312" w:eastAsia="仿宋_GB2312" w:cs="仿宋_GB2312"/>
          <w:color w:val="auto"/>
          <w:kern w:val="2"/>
          <w:sz w:val="32"/>
          <w:szCs w:val="32"/>
          <w:u w:val="none"/>
          <w:lang w:val="en-US" w:eastAsia="zh-CN" w:bidi="ar-SA"/>
        </w:rPr>
        <w:t>禁止使用。</w:t>
      </w:r>
    </w:p>
    <w:p>
      <w:pPr>
        <w:pStyle w:val="7"/>
        <w:keepNext w:val="0"/>
        <w:keepLines w:val="0"/>
        <w:pageBreakBefore w:val="0"/>
        <w:widowControl/>
        <w:kinsoku/>
        <w:wordWrap w:val="0"/>
        <w:overflowPunct/>
        <w:topLinePunct w:val="0"/>
        <w:autoSpaceDE/>
        <w:bidi w:val="0"/>
        <w:snapToGrid/>
        <w:spacing w:before="0" w:beforeAutospacing="0" w:after="0" w:afterAutospacing="0" w:line="640" w:lineRule="exact"/>
        <w:ind w:firstLine="640" w:firstLineChars="200"/>
        <w:textAlignment w:val="auto"/>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十三、6-苄基腺嘌呤(6-BA)</w:t>
      </w:r>
    </w:p>
    <w:p>
      <w:pPr>
        <w:keepNext w:val="0"/>
        <w:keepLines w:val="0"/>
        <w:pageBreakBefore w:val="0"/>
        <w:numPr>
          <w:ilvl w:val="0"/>
          <w:numId w:val="2"/>
        </w:numPr>
        <w:kinsoku/>
        <w:overflowPunct/>
        <w:topLinePunct w:val="0"/>
        <w:autoSpaceDE/>
        <w:bidi w:val="0"/>
        <w:snapToGrid/>
        <w:spacing w:line="640" w:lineRule="exact"/>
        <w:ind w:firstLine="640" w:firstLineChars="200"/>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仿宋_GB2312" w:cs="Times New Roman"/>
          <w:kern w:val="0"/>
          <w:sz w:val="32"/>
          <w:szCs w:val="32"/>
        </w:rPr>
        <w:t>苄基腺嘌呤是一种生长调节剂，可以促进细胞分裂，加快植物生长。根据原国家食品药品监督管理总局、原农业部、原国家卫生和计划生育委员会2015年第11号《关于豆芽生产过程中禁止使用6-苄基腺嘌呤等物质的公告》规定，6-苄基腺嘌呤作为低毒农药登记管理并限定了使用范围，为确保豆芽食用安全，豆芽生产过程中不得使用上述物质。</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8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roman"/>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09EBAB"/>
    <w:multiLevelType w:val="singleLevel"/>
    <w:tmpl w:val="B509EBAB"/>
    <w:lvl w:ilvl="0" w:tentative="0">
      <w:start w:val="6"/>
      <w:numFmt w:val="decimal"/>
      <w:suff w:val="nothing"/>
      <w:lvlText w:val="%1-"/>
      <w:lvlJc w:val="left"/>
    </w:lvl>
  </w:abstractNum>
  <w:abstractNum w:abstractNumId="1">
    <w:nsid w:val="48F238E5"/>
    <w:multiLevelType w:val="singleLevel"/>
    <w:tmpl w:val="48F238E5"/>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D4355F"/>
    <w:rsid w:val="02E51556"/>
    <w:rsid w:val="05186D88"/>
    <w:rsid w:val="051C7148"/>
    <w:rsid w:val="053430E0"/>
    <w:rsid w:val="05745268"/>
    <w:rsid w:val="06D74455"/>
    <w:rsid w:val="08123F6F"/>
    <w:rsid w:val="0B45380D"/>
    <w:rsid w:val="0BA40294"/>
    <w:rsid w:val="0C8C4767"/>
    <w:rsid w:val="0EDE2A98"/>
    <w:rsid w:val="15EC594F"/>
    <w:rsid w:val="167B6CBC"/>
    <w:rsid w:val="168C6AE4"/>
    <w:rsid w:val="17677D3A"/>
    <w:rsid w:val="18484AED"/>
    <w:rsid w:val="1924456A"/>
    <w:rsid w:val="193E766E"/>
    <w:rsid w:val="1A1F09D3"/>
    <w:rsid w:val="1D4213BE"/>
    <w:rsid w:val="2462067D"/>
    <w:rsid w:val="25586759"/>
    <w:rsid w:val="26631425"/>
    <w:rsid w:val="26DF4641"/>
    <w:rsid w:val="272354B2"/>
    <w:rsid w:val="279C4F22"/>
    <w:rsid w:val="27A95480"/>
    <w:rsid w:val="28B22DF6"/>
    <w:rsid w:val="29572E48"/>
    <w:rsid w:val="2A2D3458"/>
    <w:rsid w:val="2A8B307E"/>
    <w:rsid w:val="2BAF5CCC"/>
    <w:rsid w:val="2BCE09B8"/>
    <w:rsid w:val="2D851703"/>
    <w:rsid w:val="2DB63420"/>
    <w:rsid w:val="324E00CB"/>
    <w:rsid w:val="32882B90"/>
    <w:rsid w:val="332F602F"/>
    <w:rsid w:val="33775400"/>
    <w:rsid w:val="33883CFF"/>
    <w:rsid w:val="34CA45A9"/>
    <w:rsid w:val="36225F84"/>
    <w:rsid w:val="39B72E0C"/>
    <w:rsid w:val="3C0E1DC6"/>
    <w:rsid w:val="3C350180"/>
    <w:rsid w:val="3CB27B7F"/>
    <w:rsid w:val="3EAE1333"/>
    <w:rsid w:val="4039711A"/>
    <w:rsid w:val="42C5372B"/>
    <w:rsid w:val="435033F0"/>
    <w:rsid w:val="451200B3"/>
    <w:rsid w:val="460D6897"/>
    <w:rsid w:val="49810C65"/>
    <w:rsid w:val="4C615739"/>
    <w:rsid w:val="4E2C5712"/>
    <w:rsid w:val="4FBE9E45"/>
    <w:rsid w:val="508E0988"/>
    <w:rsid w:val="50BD5E1A"/>
    <w:rsid w:val="50CD6CD5"/>
    <w:rsid w:val="51DB6199"/>
    <w:rsid w:val="567A47C5"/>
    <w:rsid w:val="59224657"/>
    <w:rsid w:val="593659D6"/>
    <w:rsid w:val="5B380402"/>
    <w:rsid w:val="5C454A26"/>
    <w:rsid w:val="5D6D3F12"/>
    <w:rsid w:val="5D817942"/>
    <w:rsid w:val="5DC475F0"/>
    <w:rsid w:val="5E1E6906"/>
    <w:rsid w:val="5ED95286"/>
    <w:rsid w:val="5FC26101"/>
    <w:rsid w:val="60A46527"/>
    <w:rsid w:val="62393C54"/>
    <w:rsid w:val="63217256"/>
    <w:rsid w:val="648D0CE1"/>
    <w:rsid w:val="65BE4C71"/>
    <w:rsid w:val="68DA55BD"/>
    <w:rsid w:val="6B3B0481"/>
    <w:rsid w:val="6CE62940"/>
    <w:rsid w:val="6DFF29E8"/>
    <w:rsid w:val="71D631AF"/>
    <w:rsid w:val="72B73991"/>
    <w:rsid w:val="76CB3F79"/>
    <w:rsid w:val="772D16F5"/>
    <w:rsid w:val="77704BDB"/>
    <w:rsid w:val="77745CF2"/>
    <w:rsid w:val="785415C7"/>
    <w:rsid w:val="7A935AC6"/>
    <w:rsid w:val="7CCF0986"/>
    <w:rsid w:val="7F16E572"/>
    <w:rsid w:val="F7DED237"/>
    <w:rsid w:val="FFFB1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Indent"/>
    <w:basedOn w:val="1"/>
    <w:qFormat/>
    <w:uiPriority w:val="0"/>
    <w:pPr>
      <w:ind w:firstLine="420"/>
    </w:pPr>
    <w:rPr>
      <w:rFonts w:ascii="Times New Roman" w:hAnsi="Times New Roman" w:cs="Times New Roman"/>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1508</Words>
  <Characters>1560</Characters>
  <Lines>0</Lines>
  <Paragraphs>0</Paragraphs>
  <TotalTime>8</TotalTime>
  <ScaleCrop>false</ScaleCrop>
  <LinksUpToDate>false</LinksUpToDate>
  <CharactersWithSpaces>1566</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2021-11-09T22:11:00Z</dcterms:created>
  <dc:creator>anshenghui</dc:creator>
  <cp:lastModifiedBy>zzq</cp:lastModifiedBy>
  <cp:lastPrinted>2021-11-10T01:23:00Z</cp:lastPrinted>
  <dcterms:modified xsi:type="dcterms:W3CDTF">2024-07-05T10:00:20Z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59C52D3E5ED14B2AAC34DFF374B5170D</vt:lpwstr>
  </property>
</Properties>
</file>