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7F6DFF47">
      <w:pPr>
        <w:spacing w:line="594" w:lineRule="exact"/>
        <w:jc w:val="left"/>
        <w:rPr>
          <w:rFonts w:hint="default" w:ascii="宋体" w:hAnsi="宋体" w:eastAsia="方正黑体_GBK" w:cs="宋体"/>
          <w:color w:val="auto"/>
          <w:spacing w:val="-11"/>
          <w:sz w:val="32"/>
          <w:szCs w:val="44"/>
          <w:lang w:val="en-US" w:eastAsia="zh-CN"/>
        </w:rPr>
      </w:pPr>
      <w:r>
        <w:rPr>
          <w:rFonts w:hint="eastAsia" w:ascii="宋体" w:hAnsi="宋体" w:eastAsia="方正黑体_GBK" w:cs="宋体"/>
          <w:color w:val="auto"/>
          <w:spacing w:val="-11"/>
          <w:sz w:val="32"/>
          <w:szCs w:val="44"/>
          <w:lang w:val="en-US" w:eastAsia="zh-CN"/>
        </w:rPr>
        <w:t>附件3</w:t>
      </w:r>
    </w:p>
    <w:p w14:paraId="45E917E8">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宋体" w:hAnsi="宋体" w:eastAsia="方正小标宋_GBK" w:cs="宋体"/>
          <w:color w:val="auto"/>
          <w:spacing w:val="-11"/>
          <w:sz w:val="44"/>
          <w:szCs w:val="44"/>
        </w:rPr>
      </w:pPr>
      <w:r>
        <w:rPr>
          <w:rFonts w:hint="eastAsia" w:ascii="宋体" w:hAnsi="宋体" w:eastAsia="方正小标宋_GBK" w:cs="宋体"/>
          <w:color w:val="auto"/>
          <w:spacing w:val="-11"/>
          <w:sz w:val="44"/>
          <w:szCs w:val="44"/>
        </w:rPr>
        <w:t>部分不合格检验项目小知识</w:t>
      </w:r>
    </w:p>
    <w:p w14:paraId="52E5ED10">
      <w:pPr>
        <w:pStyle w:val="2"/>
        <w:rPr>
          <w:rFonts w:ascii="宋体" w:hAnsi="宋体"/>
          <w:color w:val="auto"/>
        </w:rPr>
      </w:pPr>
    </w:p>
    <w:p w14:paraId="47048CBC">
      <w:pPr>
        <w:keepNext w:val="0"/>
        <w:keepLines w:val="0"/>
        <w:pageBreakBefore w:val="0"/>
        <w:kinsoku/>
        <w:wordWrap/>
        <w:overflowPunct/>
        <w:topLinePunct w:val="0"/>
        <w:autoSpaceDE/>
        <w:autoSpaceDN/>
        <w:bidi w:val="0"/>
        <w:snapToGrid/>
        <w:spacing w:line="594" w:lineRule="exact"/>
        <w:ind w:firstLine="640" w:firstLineChars="200"/>
        <w:textAlignment w:val="auto"/>
        <w:rPr>
          <w:rFonts w:ascii="宋体" w:hAnsi="宋体" w:eastAsia="黑体"/>
          <w:color w:val="auto"/>
          <w:sz w:val="32"/>
          <w:szCs w:val="32"/>
          <w:highlight w:val="none"/>
        </w:rPr>
      </w:pPr>
      <w:r>
        <w:rPr>
          <w:rFonts w:hint="eastAsia" w:ascii="宋体" w:hAnsi="宋体" w:eastAsia="黑体"/>
          <w:color w:val="auto"/>
          <w:sz w:val="32"/>
          <w:szCs w:val="32"/>
          <w:highlight w:val="none"/>
          <w:lang w:val="en-US" w:eastAsia="zh-CN"/>
        </w:rPr>
        <w:t>一</w:t>
      </w:r>
      <w:r>
        <w:rPr>
          <w:rFonts w:hint="eastAsia" w:ascii="宋体" w:hAnsi="宋体" w:eastAsia="黑体"/>
          <w:color w:val="auto"/>
          <w:sz w:val="32"/>
          <w:szCs w:val="32"/>
          <w:highlight w:val="none"/>
        </w:rPr>
        <w:t>、倍硫磷</w:t>
      </w:r>
    </w:p>
    <w:p w14:paraId="1029C2C9">
      <w:pPr>
        <w:keepNext w:val="0"/>
        <w:keepLines w:val="0"/>
        <w:pageBreakBefore w:val="0"/>
        <w:kinsoku/>
        <w:wordWrap/>
        <w:overflowPunct/>
        <w:topLinePunct w:val="0"/>
        <w:autoSpaceDE/>
        <w:autoSpaceDN/>
        <w:bidi w:val="0"/>
        <w:snapToGrid/>
        <w:spacing w:line="594" w:lineRule="exact"/>
        <w:ind w:firstLine="640" w:firstLineChars="200"/>
        <w:textAlignment w:val="auto"/>
        <w:rPr>
          <w:rFonts w:ascii="宋体" w:hAnsi="宋体" w:eastAsia="仿宋_GB2312"/>
          <w:color w:val="auto"/>
          <w:sz w:val="32"/>
          <w:szCs w:val="32"/>
          <w:highlight w:val="none"/>
        </w:rPr>
      </w:pPr>
      <w:r>
        <w:rPr>
          <w:rFonts w:hint="eastAsia" w:ascii="宋体" w:hAnsi="宋体" w:eastAsia="仿宋_GB2312"/>
          <w:color w:val="auto"/>
          <w:sz w:val="32"/>
          <w:szCs w:val="32"/>
          <w:highlight w:val="none"/>
        </w:rPr>
        <w:t>倍硫磷是有机磷神经毒剂，对害虫具有触杀和胃毒作用，</w:t>
      </w:r>
      <w:r>
        <w:rPr>
          <w:rFonts w:ascii="宋体" w:hAnsi="宋体" w:eastAsia="仿宋_GB2312"/>
          <w:color w:val="auto"/>
          <w:sz w:val="32"/>
          <w:szCs w:val="32"/>
          <w:highlight w:val="none"/>
        </w:rPr>
        <w:t>对</w:t>
      </w:r>
      <w:r>
        <w:rPr>
          <w:rFonts w:hint="eastAsia" w:ascii="宋体" w:hAnsi="宋体" w:eastAsia="仿宋_GB2312"/>
          <w:color w:val="auto"/>
          <w:sz w:val="32"/>
          <w:szCs w:val="32"/>
          <w:highlight w:val="none"/>
        </w:rPr>
        <w:t>蚜虫等有较好防效。少量的残留不会引起人体急性中毒，但长期食用倍硫磷超标的食品，对人体健康可能有一定影响。</w:t>
      </w:r>
      <w:r>
        <w:rPr>
          <w:rFonts w:ascii="宋体" w:hAnsi="宋体" w:eastAsia="仿宋_GB2312"/>
          <w:color w:val="auto"/>
          <w:sz w:val="32"/>
          <w:szCs w:val="32"/>
          <w:highlight w:val="none"/>
        </w:rPr>
        <w:t>《食品安全国家标准</w:t>
      </w:r>
      <w:r>
        <w:rPr>
          <w:rFonts w:hint="eastAsia" w:ascii="宋体" w:hAnsi="宋体" w:eastAsia="仿宋_GB2312"/>
          <w:color w:val="auto"/>
          <w:sz w:val="32"/>
          <w:szCs w:val="32"/>
          <w:highlight w:val="none"/>
        </w:rPr>
        <w:t xml:space="preserve"> </w:t>
      </w:r>
      <w:r>
        <w:rPr>
          <w:rFonts w:ascii="宋体" w:hAnsi="宋体" w:eastAsia="仿宋_GB2312"/>
          <w:color w:val="auto"/>
          <w:sz w:val="32"/>
          <w:szCs w:val="32"/>
          <w:highlight w:val="none"/>
        </w:rPr>
        <w:t xml:space="preserve">食品中农药最大残留限量》（GB </w:t>
      </w:r>
      <w:r>
        <w:rPr>
          <w:rFonts w:hint="eastAsia" w:ascii="宋体" w:hAnsi="宋体" w:eastAsia="仿宋_GB2312"/>
          <w:color w:val="auto"/>
          <w:sz w:val="32"/>
          <w:szCs w:val="32"/>
          <w:highlight w:val="none"/>
          <w:lang w:eastAsia="zh-CN"/>
        </w:rPr>
        <w:t>2763—2021</w:t>
      </w:r>
      <w:r>
        <w:rPr>
          <w:rFonts w:ascii="宋体" w:hAnsi="宋体" w:eastAsia="仿宋_GB2312"/>
          <w:color w:val="auto"/>
          <w:sz w:val="32"/>
          <w:szCs w:val="32"/>
          <w:highlight w:val="none"/>
        </w:rPr>
        <w:t>）中规定，</w:t>
      </w:r>
      <w:r>
        <w:rPr>
          <w:rFonts w:hint="eastAsia" w:ascii="宋体" w:hAnsi="宋体" w:eastAsia="仿宋_GB2312"/>
          <w:color w:val="auto"/>
          <w:sz w:val="32"/>
          <w:szCs w:val="32"/>
          <w:highlight w:val="none"/>
        </w:rPr>
        <w:t>倍硫磷在茄果类蔬菜中</w:t>
      </w:r>
      <w:r>
        <w:rPr>
          <w:rFonts w:ascii="宋体" w:hAnsi="宋体" w:eastAsia="仿宋_GB2312"/>
          <w:color w:val="auto"/>
          <w:sz w:val="32"/>
          <w:szCs w:val="32"/>
          <w:highlight w:val="none"/>
        </w:rPr>
        <w:t>的最大残留限量</w:t>
      </w:r>
      <w:r>
        <w:rPr>
          <w:rFonts w:hint="eastAsia" w:ascii="宋体" w:hAnsi="宋体" w:eastAsia="仿宋_GB2312"/>
          <w:color w:val="auto"/>
          <w:sz w:val="32"/>
          <w:szCs w:val="32"/>
          <w:highlight w:val="none"/>
        </w:rPr>
        <w:t>值</w:t>
      </w:r>
      <w:r>
        <w:rPr>
          <w:rFonts w:ascii="宋体" w:hAnsi="宋体" w:eastAsia="仿宋_GB2312"/>
          <w:color w:val="auto"/>
          <w:sz w:val="32"/>
          <w:szCs w:val="32"/>
          <w:highlight w:val="none"/>
        </w:rPr>
        <w:t>为</w:t>
      </w:r>
      <w:r>
        <w:rPr>
          <w:rFonts w:hint="eastAsia" w:ascii="宋体" w:hAnsi="宋体" w:eastAsia="仿宋_GB2312"/>
          <w:color w:val="auto"/>
          <w:sz w:val="32"/>
          <w:szCs w:val="32"/>
          <w:highlight w:val="none"/>
        </w:rPr>
        <w:t>0.05</w:t>
      </w:r>
      <w:r>
        <w:rPr>
          <w:rFonts w:ascii="宋体" w:hAnsi="宋体" w:eastAsia="仿宋_GB2312"/>
          <w:color w:val="auto"/>
          <w:sz w:val="32"/>
          <w:szCs w:val="32"/>
          <w:highlight w:val="none"/>
        </w:rPr>
        <w:t>mg/kg。</w:t>
      </w:r>
      <w:r>
        <w:rPr>
          <w:rFonts w:hint="eastAsia" w:ascii="宋体" w:hAnsi="宋体" w:eastAsia="仿宋_GB2312"/>
          <w:color w:val="auto"/>
          <w:sz w:val="32"/>
          <w:szCs w:val="32"/>
          <w:highlight w:val="none"/>
          <w:lang w:val="en-US" w:eastAsia="zh-CN"/>
        </w:rPr>
        <w:t>辣椒</w:t>
      </w:r>
      <w:r>
        <w:rPr>
          <w:rFonts w:ascii="宋体" w:hAnsi="宋体" w:eastAsia="仿宋_GB2312"/>
          <w:color w:val="auto"/>
          <w:sz w:val="32"/>
          <w:szCs w:val="32"/>
          <w:highlight w:val="none"/>
        </w:rPr>
        <w:t>中</w:t>
      </w:r>
      <w:r>
        <w:rPr>
          <w:rFonts w:hint="eastAsia" w:ascii="宋体" w:hAnsi="宋体" w:eastAsia="仿宋_GB2312"/>
          <w:color w:val="auto"/>
          <w:sz w:val="32"/>
          <w:szCs w:val="32"/>
          <w:highlight w:val="none"/>
        </w:rPr>
        <w:t>倍硫磷残留量</w:t>
      </w:r>
      <w:r>
        <w:rPr>
          <w:rFonts w:ascii="宋体" w:hAnsi="宋体" w:eastAsia="仿宋_GB2312"/>
          <w:color w:val="auto"/>
          <w:sz w:val="32"/>
          <w:szCs w:val="32"/>
          <w:highlight w:val="none"/>
        </w:rPr>
        <w:t>超标</w:t>
      </w:r>
      <w:r>
        <w:rPr>
          <w:rFonts w:hint="eastAsia" w:ascii="宋体" w:hAnsi="宋体" w:eastAsia="仿宋_GB2312"/>
          <w:color w:val="auto"/>
          <w:sz w:val="32"/>
          <w:szCs w:val="32"/>
          <w:highlight w:val="none"/>
        </w:rPr>
        <w:t>的原因</w:t>
      </w:r>
      <w:r>
        <w:rPr>
          <w:rFonts w:ascii="宋体" w:hAnsi="宋体" w:eastAsia="仿宋_GB2312"/>
          <w:color w:val="auto"/>
          <w:sz w:val="32"/>
          <w:szCs w:val="32"/>
          <w:highlight w:val="none"/>
        </w:rPr>
        <w:t>，</w:t>
      </w:r>
      <w:r>
        <w:rPr>
          <w:rFonts w:hint="eastAsia" w:ascii="宋体" w:hAnsi="宋体" w:eastAsia="仿宋_GB2312"/>
          <w:color w:val="auto"/>
          <w:sz w:val="32"/>
          <w:szCs w:val="32"/>
          <w:highlight w:val="none"/>
        </w:rPr>
        <w:t>可能是为</w:t>
      </w:r>
      <w:r>
        <w:rPr>
          <w:rFonts w:ascii="宋体" w:hAnsi="宋体" w:eastAsia="仿宋_GB2312"/>
          <w:color w:val="auto"/>
          <w:sz w:val="32"/>
          <w:szCs w:val="32"/>
          <w:highlight w:val="none"/>
        </w:rPr>
        <w:t>快速控制</w:t>
      </w:r>
      <w:r>
        <w:rPr>
          <w:rFonts w:hint="eastAsia" w:ascii="宋体" w:hAnsi="宋体" w:eastAsia="仿宋_GB2312"/>
          <w:color w:val="auto"/>
          <w:sz w:val="32"/>
          <w:szCs w:val="32"/>
          <w:highlight w:val="none"/>
        </w:rPr>
        <w:t>虫害，</w:t>
      </w:r>
      <w:r>
        <w:rPr>
          <w:rFonts w:ascii="宋体" w:hAnsi="宋体" w:eastAsia="仿宋_GB2312"/>
          <w:color w:val="auto"/>
          <w:sz w:val="32"/>
          <w:szCs w:val="32"/>
          <w:highlight w:val="none"/>
        </w:rPr>
        <w:t>加大用药量</w:t>
      </w:r>
      <w:r>
        <w:rPr>
          <w:rFonts w:hint="eastAsia" w:ascii="宋体" w:hAnsi="宋体" w:eastAsia="仿宋_GB2312"/>
          <w:color w:val="auto"/>
          <w:sz w:val="32"/>
          <w:szCs w:val="32"/>
          <w:highlight w:val="none"/>
        </w:rPr>
        <w:t>或</w:t>
      </w:r>
      <w:r>
        <w:rPr>
          <w:rFonts w:ascii="宋体" w:hAnsi="宋体" w:eastAsia="仿宋_GB2312"/>
          <w:color w:val="auto"/>
          <w:sz w:val="32"/>
          <w:szCs w:val="32"/>
          <w:highlight w:val="none"/>
        </w:rPr>
        <w:t>未遵守采摘间隔期</w:t>
      </w:r>
      <w:r>
        <w:rPr>
          <w:rFonts w:hint="eastAsia" w:ascii="宋体" w:hAnsi="宋体" w:eastAsia="仿宋_GB2312"/>
          <w:color w:val="auto"/>
          <w:sz w:val="32"/>
          <w:szCs w:val="32"/>
          <w:highlight w:val="none"/>
        </w:rPr>
        <w:t>规定</w:t>
      </w:r>
      <w:r>
        <w:rPr>
          <w:rFonts w:ascii="宋体" w:hAnsi="宋体" w:eastAsia="仿宋_GB2312"/>
          <w:color w:val="auto"/>
          <w:sz w:val="32"/>
          <w:szCs w:val="32"/>
          <w:highlight w:val="none"/>
        </w:rPr>
        <w:t>，致使上市销售</w:t>
      </w:r>
      <w:r>
        <w:rPr>
          <w:rFonts w:hint="eastAsia" w:ascii="宋体" w:hAnsi="宋体" w:eastAsia="仿宋_GB2312"/>
          <w:color w:val="auto"/>
          <w:sz w:val="32"/>
          <w:szCs w:val="32"/>
          <w:highlight w:val="none"/>
        </w:rPr>
        <w:t>的产品中残留量超标</w:t>
      </w:r>
      <w:r>
        <w:rPr>
          <w:rFonts w:ascii="宋体" w:hAnsi="宋体" w:eastAsia="仿宋_GB2312"/>
          <w:color w:val="auto"/>
          <w:sz w:val="32"/>
          <w:szCs w:val="32"/>
          <w:highlight w:val="none"/>
        </w:rPr>
        <w:t>。</w:t>
      </w:r>
    </w:p>
    <w:p w14:paraId="70A8AEB6">
      <w:pPr>
        <w:keepNext w:val="0"/>
        <w:keepLines w:val="0"/>
        <w:pageBreakBefore w:val="0"/>
        <w:kinsoku/>
        <w:wordWrap/>
        <w:overflowPunct/>
        <w:topLinePunct w:val="0"/>
        <w:autoSpaceDE/>
        <w:autoSpaceDN/>
        <w:bidi w:val="0"/>
        <w:snapToGrid/>
        <w:spacing w:line="590" w:lineRule="exact"/>
        <w:ind w:firstLine="592" w:firstLineChars="200"/>
        <w:jc w:val="left"/>
        <w:textAlignment w:val="auto"/>
        <w:rPr>
          <w:rFonts w:ascii="宋体" w:hAnsi="宋体" w:eastAsia="黑体"/>
          <w:color w:val="auto"/>
          <w:spacing w:val="-12"/>
          <w:sz w:val="32"/>
          <w:szCs w:val="32"/>
          <w:highlight w:val="none"/>
        </w:rPr>
      </w:pPr>
      <w:r>
        <w:rPr>
          <w:rFonts w:hint="eastAsia" w:ascii="宋体" w:hAnsi="宋体" w:eastAsia="黑体"/>
          <w:color w:val="auto"/>
          <w:spacing w:val="-12"/>
          <w:sz w:val="32"/>
          <w:szCs w:val="32"/>
          <w:highlight w:val="none"/>
          <w:lang w:val="en-US" w:eastAsia="zh-CN"/>
        </w:rPr>
        <w:t>二</w:t>
      </w:r>
      <w:r>
        <w:rPr>
          <w:rFonts w:hint="eastAsia" w:ascii="宋体" w:hAnsi="宋体" w:eastAsia="黑体"/>
          <w:color w:val="auto"/>
          <w:spacing w:val="-12"/>
          <w:sz w:val="32"/>
          <w:szCs w:val="32"/>
          <w:highlight w:val="none"/>
        </w:rPr>
        <w:t>、氯氟氰菊酯和高效氯氟氰菊酯</w:t>
      </w:r>
    </w:p>
    <w:p w14:paraId="61F44DA4">
      <w:pPr>
        <w:keepNext w:val="0"/>
        <w:keepLines w:val="0"/>
        <w:pageBreakBefore w:val="0"/>
        <w:kinsoku/>
        <w:wordWrap/>
        <w:overflowPunct/>
        <w:topLinePunct w:val="0"/>
        <w:autoSpaceDE/>
        <w:autoSpaceDN/>
        <w:bidi w:val="0"/>
        <w:snapToGrid/>
        <w:spacing w:line="590" w:lineRule="exact"/>
        <w:ind w:firstLine="640" w:firstLineChars="200"/>
        <w:textAlignment w:val="auto"/>
        <w:rPr>
          <w:rFonts w:hint="eastAsia" w:ascii="宋体" w:hAnsi="宋体" w:eastAsia="仿宋_GB2312" w:cs="Times New Roman"/>
          <w:color w:val="auto"/>
          <w:kern w:val="2"/>
          <w:sz w:val="32"/>
          <w:szCs w:val="32"/>
          <w:highlight w:val="none"/>
          <w:lang w:val="en-US" w:eastAsia="zh-CN" w:bidi="ar-SA"/>
        </w:rPr>
      </w:pPr>
      <w:r>
        <w:rPr>
          <w:rFonts w:hint="eastAsia" w:ascii="宋体" w:hAnsi="宋体" w:eastAsia="仿宋_GB2312" w:cs="Times New Roman"/>
          <w:color w:val="auto"/>
          <w:kern w:val="2"/>
          <w:sz w:val="32"/>
          <w:szCs w:val="32"/>
          <w:highlight w:val="none"/>
          <w:lang w:val="en-US" w:eastAsia="zh-CN" w:bidi="ar-SA"/>
        </w:rPr>
        <w:t>氯氟氰菊酯和高效氯氟氰菊酯是一种广谱、高效拟除虫菊酯类杀虫剂，以触杀和胃毒作用为主，广泛用于农林业和卫生虫害的防治。少量的残留不会引起人体急性中毒，但长期食用氯氟氰菊酯和高效氯氟氰菊酯超标的食品，对人体健康可能有一定影响。《食品安全国家标准 食品中农药最大残留限量》（GB 2763—2021）中规定，氯氟氰菊酯和高效氯氟氰菊酯在芹菜中的最大残留限量值为0.5mg/kg。氯氰菊酯和高效氯氰菊酯超标的原因，可能是为控制病情不遵守休药期规定，致使上市销售时产品中的药物残留量未降解至标准限量以下。</w:t>
      </w:r>
    </w:p>
    <w:p w14:paraId="03391D26">
      <w:pPr>
        <w:keepNext w:val="0"/>
        <w:keepLines w:val="0"/>
        <w:pageBreakBefore w:val="0"/>
        <w:kinsoku/>
        <w:wordWrap/>
        <w:overflowPunct/>
        <w:topLinePunct w:val="0"/>
        <w:autoSpaceDE/>
        <w:autoSpaceDN/>
        <w:bidi w:val="0"/>
        <w:snapToGrid/>
        <w:spacing w:line="594" w:lineRule="exact"/>
        <w:ind w:firstLine="592" w:firstLineChars="200"/>
        <w:textAlignment w:val="auto"/>
        <w:rPr>
          <w:rFonts w:hint="eastAsia" w:ascii="宋体" w:hAnsi="宋体" w:eastAsia="黑体"/>
          <w:color w:val="auto"/>
          <w:sz w:val="32"/>
          <w:szCs w:val="32"/>
          <w:highlight w:val="none"/>
          <w:lang w:val="en-US" w:eastAsia="zh-CN"/>
        </w:rPr>
      </w:pPr>
      <w:r>
        <w:rPr>
          <w:rFonts w:hint="eastAsia" w:ascii="宋体" w:hAnsi="宋体" w:eastAsia="黑体"/>
          <w:color w:val="auto"/>
          <w:spacing w:val="-12"/>
          <w:sz w:val="32"/>
          <w:szCs w:val="32"/>
          <w:highlight w:val="none"/>
          <w:lang w:val="en-US" w:eastAsia="zh-CN"/>
        </w:rPr>
        <w:t>三、</w:t>
      </w:r>
      <w:r>
        <w:rPr>
          <w:rFonts w:hint="eastAsia" w:ascii="宋体" w:hAnsi="宋体" w:eastAsia="黑体"/>
          <w:color w:val="auto"/>
          <w:sz w:val="32"/>
          <w:szCs w:val="32"/>
          <w:highlight w:val="none"/>
          <w:lang w:val="en-US" w:eastAsia="zh-CN"/>
        </w:rPr>
        <w:t>酒精度</w:t>
      </w:r>
    </w:p>
    <w:p w14:paraId="6312A250">
      <w:pPr>
        <w:widowControl/>
        <w:spacing w:line="594" w:lineRule="exact"/>
        <w:ind w:firstLine="640" w:firstLineChars="200"/>
        <w:rPr>
          <w:rFonts w:hint="eastAsia" w:ascii="宋体" w:hAnsi="宋体" w:eastAsia="仿宋_GB2312" w:cs="Times New Roman"/>
          <w:color w:val="auto"/>
          <w:kern w:val="2"/>
          <w:sz w:val="32"/>
          <w:szCs w:val="32"/>
          <w:highlight w:val="none"/>
          <w:lang w:val="en-US" w:eastAsia="zh-CN" w:bidi="ar-SA"/>
        </w:rPr>
      </w:pPr>
      <w:r>
        <w:rPr>
          <w:rFonts w:hint="eastAsia" w:ascii="宋体" w:hAnsi="宋体" w:eastAsia="仿宋_GB2312" w:cs="Times New Roman"/>
          <w:color w:val="auto"/>
          <w:kern w:val="2"/>
          <w:sz w:val="32"/>
          <w:szCs w:val="32"/>
          <w:highlight w:val="none"/>
          <w:lang w:val="en-US" w:eastAsia="zh-CN" w:bidi="ar-SA"/>
        </w:rPr>
        <w:t>酒精度又叫酒度，是指20℃时，100毫升酒中含有乙醇（酒精）的毫升数，即体积（容量）的百分数。酒精度是酒类产品的一个重要理化指标，含量不达标主要影响产品的品质。酒精度不合格可能是个别企业生产工艺控制不严格或生产工艺水平较低，无法有效控制酒精度的高低，或是包装不严密造成酒精挥发，导致酒精度降低以致不合格，也可能是生产企业检验器具未检定或检验过程不规范，造成检验结果偏差。</w:t>
      </w:r>
    </w:p>
    <w:p w14:paraId="53D06241">
      <w:pPr>
        <w:keepNext w:val="0"/>
        <w:keepLines w:val="0"/>
        <w:pageBreakBefore w:val="0"/>
        <w:kinsoku/>
        <w:wordWrap/>
        <w:overflowPunct/>
        <w:topLinePunct w:val="0"/>
        <w:autoSpaceDE/>
        <w:autoSpaceDN/>
        <w:bidi w:val="0"/>
        <w:snapToGrid/>
        <w:spacing w:line="594" w:lineRule="exact"/>
        <w:ind w:firstLine="592" w:firstLineChars="200"/>
        <w:jc w:val="left"/>
        <w:textAlignment w:val="auto"/>
        <w:rPr>
          <w:rFonts w:ascii="宋体" w:hAnsi="宋体" w:eastAsia="黑体"/>
          <w:color w:val="auto"/>
          <w:spacing w:val="-12"/>
          <w:sz w:val="32"/>
          <w:szCs w:val="32"/>
          <w:highlight w:val="none"/>
        </w:rPr>
      </w:pPr>
      <w:r>
        <w:rPr>
          <w:rFonts w:hint="eastAsia" w:ascii="宋体" w:hAnsi="宋体" w:eastAsia="黑体"/>
          <w:color w:val="auto"/>
          <w:spacing w:val="-12"/>
          <w:sz w:val="32"/>
          <w:szCs w:val="32"/>
          <w:highlight w:val="none"/>
          <w:lang w:val="en-US" w:eastAsia="zh-CN"/>
        </w:rPr>
        <w:t>四</w:t>
      </w:r>
      <w:bookmarkStart w:id="0" w:name="_GoBack"/>
      <w:bookmarkEnd w:id="0"/>
      <w:r>
        <w:rPr>
          <w:rFonts w:hint="eastAsia" w:ascii="宋体" w:hAnsi="宋体" w:eastAsia="黑体"/>
          <w:color w:val="auto"/>
          <w:spacing w:val="-12"/>
          <w:sz w:val="32"/>
          <w:szCs w:val="32"/>
          <w:highlight w:val="none"/>
        </w:rPr>
        <w:t>、苯醚甲环唑</w:t>
      </w:r>
    </w:p>
    <w:p w14:paraId="5311DCA8">
      <w:pPr>
        <w:pStyle w:val="2"/>
        <w:keepNext w:val="0"/>
        <w:keepLines w:val="0"/>
        <w:pageBreakBefore w:val="0"/>
        <w:kinsoku/>
        <w:wordWrap/>
        <w:overflowPunct/>
        <w:topLinePunct w:val="0"/>
        <w:autoSpaceDE/>
        <w:autoSpaceDN/>
        <w:bidi w:val="0"/>
        <w:snapToGrid/>
        <w:spacing w:line="594" w:lineRule="exact"/>
        <w:textAlignment w:val="auto"/>
        <w:rPr>
          <w:rFonts w:hint="eastAsia" w:ascii="宋体" w:hAnsi="宋体" w:eastAsia="方正仿宋_GBK" w:cs="方正仿宋_GBK"/>
          <w:color w:val="auto"/>
          <w:kern w:val="2"/>
          <w:sz w:val="32"/>
          <w:szCs w:val="32"/>
          <w:highlight w:val="none"/>
          <w:lang w:val="en-US" w:eastAsia="zh-CN" w:bidi="ar-SA"/>
        </w:rPr>
      </w:pPr>
      <w:r>
        <w:rPr>
          <w:rFonts w:hint="eastAsia" w:ascii="宋体" w:hAnsi="宋体" w:eastAsia="方正仿宋_GBK" w:cs="方正仿宋_GBK"/>
          <w:color w:val="auto"/>
          <w:kern w:val="2"/>
          <w:sz w:val="32"/>
          <w:szCs w:val="32"/>
          <w:highlight w:val="none"/>
          <w:lang w:val="en-US" w:eastAsia="zh-CN" w:bidi="ar-SA"/>
        </w:rPr>
        <w:t>苯醚甲环唑是高效广谱杀菌剂，对蔬菜和瓜果等多种真菌性病害具有很好的防治作用。食用食品一般不会导致苯醚甲环唑的急性中毒，但长期食用苯醚甲环唑超标的食品，对人体健康也有一定影响《食品安全国家标准 食品中农药最大残留限量》（GB 2763—2021）规定，苯醚甲环唑在柑中的最大残留限量值为0.2mg/kg。沃柑中苯醚甲环唑超标的原因可能是水果种植户在生产过程中不考虑农药的半衰期，不按产品说明书规定随意或超剂量喷洒农药，以致于农药在水果中残留量超标。</w:t>
      </w:r>
    </w:p>
    <w:p w14:paraId="292F0F9B">
      <w:pPr>
        <w:spacing w:line="594" w:lineRule="exact"/>
        <w:ind w:firstLine="420" w:firstLineChars="200"/>
        <w:jc w:val="left"/>
        <w:rPr>
          <w:rFonts w:hint="eastAsia" w:ascii="宋体" w:hAnsi="宋体"/>
          <w:color w:val="auto"/>
          <w:lang w:val="en-US" w:eastAsia="zh-CN"/>
        </w:rPr>
      </w:pPr>
    </w:p>
    <w:sectPr>
      <w:footerReference r:id="rId3" w:type="default"/>
      <w:footerReference r:id="rId4" w:type="even"/>
      <w:pgSz w:w="11906" w:h="16838"/>
      <w:pgMar w:top="2098" w:right="1417" w:bottom="147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2EAE5DC-4540-477F-90BD-DA733D8C7FA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embedRegular r:id="rId2" w:fontKey="{679F3D4F-5F7B-4A3C-836C-82FCF9C90409}"/>
  </w:font>
  <w:font w:name="方正小标宋_GBK">
    <w:panose1 w:val="03000509000000000000"/>
    <w:charset w:val="86"/>
    <w:family w:val="auto"/>
    <w:pitch w:val="default"/>
    <w:sig w:usb0="00000001" w:usb1="080E0000" w:usb2="00000000" w:usb3="00000000" w:csb0="00040000" w:csb1="00000000"/>
    <w:embedRegular r:id="rId3" w:fontKey="{EFDC4F18-9C0F-4847-8657-12DF032CB0B4}"/>
  </w:font>
  <w:font w:name="仿宋_GB2312">
    <w:altName w:val="仿宋"/>
    <w:panose1 w:val="02010609030101010101"/>
    <w:charset w:val="86"/>
    <w:family w:val="modern"/>
    <w:pitch w:val="default"/>
    <w:sig w:usb0="00000000" w:usb1="00000000" w:usb2="00000000" w:usb3="00000000" w:csb0="00040000" w:csb1="00000000"/>
    <w:embedRegular r:id="rId4" w:fontKey="{B77FC028-6C0B-47FF-A9A3-0A87E53142FD}"/>
  </w:font>
  <w:font w:name="方正仿宋_GBK">
    <w:panose1 w:val="03000509000000000000"/>
    <w:charset w:val="86"/>
    <w:family w:val="auto"/>
    <w:pitch w:val="default"/>
    <w:sig w:usb0="00000001" w:usb1="080E0000" w:usb2="00000000" w:usb3="00000000" w:csb0="00040000" w:csb1="00000000"/>
    <w:embedRegular r:id="rId5" w:fontKey="{625B9B08-E388-490D-BC2A-E2ADB506051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7460024"/>
      <w:docPartObj>
        <w:docPartGallery w:val="autotext"/>
      </w:docPartObj>
    </w:sdtPr>
    <w:sdtContent>
      <w:p w14:paraId="0102FD67">
        <w:pPr>
          <w:pStyle w:val="6"/>
          <w:jc w:val="center"/>
        </w:pPr>
        <w:r>
          <w:fldChar w:fldCharType="begin"/>
        </w:r>
        <w:r>
          <w:instrText xml:space="preserve">PAGE   \* MERGEFORMAT</w:instrText>
        </w:r>
        <w:r>
          <w:fldChar w:fldCharType="separate"/>
        </w:r>
        <w:r>
          <w:rPr>
            <w:lang w:val="zh-CN"/>
          </w:rPr>
          <w:t>4</w:t>
        </w:r>
        <w:r>
          <w:fldChar w:fldCharType="end"/>
        </w:r>
      </w:p>
    </w:sdtContent>
  </w:sdt>
  <w:p w14:paraId="12FA7481">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5FFEF79E">
    <w:pPr>
      <w:pStyle w:val="6"/>
    </w:pPr>
  </w:p>
  <w:p w14:paraId="2836AA12">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attachedTemplate r:id="rId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1N2JlNTk5N2I1MjE1ZDc4Y2MwMTI0OWVmYzZkOGMifQ=="/>
  </w:docVars>
  <w:rsids>
    <w:rsidRoot w:val="15B85137"/>
    <w:rsid w:val="000119D5"/>
    <w:rsid w:val="00013E30"/>
    <w:rsid w:val="000276F3"/>
    <w:rsid w:val="00045657"/>
    <w:rsid w:val="00063DA7"/>
    <w:rsid w:val="000854E2"/>
    <w:rsid w:val="000868BD"/>
    <w:rsid w:val="0009071C"/>
    <w:rsid w:val="000C63B4"/>
    <w:rsid w:val="000D132D"/>
    <w:rsid w:val="000E0F61"/>
    <w:rsid w:val="000E639C"/>
    <w:rsid w:val="00101A1D"/>
    <w:rsid w:val="0010777E"/>
    <w:rsid w:val="00116CA2"/>
    <w:rsid w:val="00135634"/>
    <w:rsid w:val="00135A77"/>
    <w:rsid w:val="00142BDE"/>
    <w:rsid w:val="0015345E"/>
    <w:rsid w:val="00170041"/>
    <w:rsid w:val="0018028B"/>
    <w:rsid w:val="001B6492"/>
    <w:rsid w:val="001F1D2C"/>
    <w:rsid w:val="00205007"/>
    <w:rsid w:val="00217ABC"/>
    <w:rsid w:val="00256527"/>
    <w:rsid w:val="00263FF9"/>
    <w:rsid w:val="00277D08"/>
    <w:rsid w:val="002805F4"/>
    <w:rsid w:val="002973CA"/>
    <w:rsid w:val="002B1D5C"/>
    <w:rsid w:val="00334125"/>
    <w:rsid w:val="0036317E"/>
    <w:rsid w:val="00366A48"/>
    <w:rsid w:val="003863E8"/>
    <w:rsid w:val="00387207"/>
    <w:rsid w:val="003B6CD4"/>
    <w:rsid w:val="003C1AAD"/>
    <w:rsid w:val="003D4702"/>
    <w:rsid w:val="003F5AD0"/>
    <w:rsid w:val="003F6028"/>
    <w:rsid w:val="00407D86"/>
    <w:rsid w:val="004201AC"/>
    <w:rsid w:val="00423211"/>
    <w:rsid w:val="00425E6A"/>
    <w:rsid w:val="00447299"/>
    <w:rsid w:val="00457F63"/>
    <w:rsid w:val="00467CE0"/>
    <w:rsid w:val="004707E4"/>
    <w:rsid w:val="004735A6"/>
    <w:rsid w:val="004C53F6"/>
    <w:rsid w:val="004D036B"/>
    <w:rsid w:val="004D0CC7"/>
    <w:rsid w:val="004D4E94"/>
    <w:rsid w:val="00514B88"/>
    <w:rsid w:val="005216E2"/>
    <w:rsid w:val="00541843"/>
    <w:rsid w:val="00551758"/>
    <w:rsid w:val="00565D70"/>
    <w:rsid w:val="00576235"/>
    <w:rsid w:val="0057719D"/>
    <w:rsid w:val="00580AA7"/>
    <w:rsid w:val="005A6A35"/>
    <w:rsid w:val="005A758A"/>
    <w:rsid w:val="005C0139"/>
    <w:rsid w:val="005C2A8D"/>
    <w:rsid w:val="005C692C"/>
    <w:rsid w:val="005C76FA"/>
    <w:rsid w:val="005D5A75"/>
    <w:rsid w:val="005E7727"/>
    <w:rsid w:val="00603050"/>
    <w:rsid w:val="00613B2D"/>
    <w:rsid w:val="006221A8"/>
    <w:rsid w:val="00632D84"/>
    <w:rsid w:val="00643647"/>
    <w:rsid w:val="006B4C83"/>
    <w:rsid w:val="006E25C7"/>
    <w:rsid w:val="006E3529"/>
    <w:rsid w:val="006E385A"/>
    <w:rsid w:val="006F10E4"/>
    <w:rsid w:val="007114C3"/>
    <w:rsid w:val="00716E8E"/>
    <w:rsid w:val="007323B8"/>
    <w:rsid w:val="00741E8B"/>
    <w:rsid w:val="00742D85"/>
    <w:rsid w:val="0076297A"/>
    <w:rsid w:val="00766A6B"/>
    <w:rsid w:val="00771D1B"/>
    <w:rsid w:val="00786192"/>
    <w:rsid w:val="0079128E"/>
    <w:rsid w:val="007B44DC"/>
    <w:rsid w:val="007C2539"/>
    <w:rsid w:val="007C55DC"/>
    <w:rsid w:val="007D761E"/>
    <w:rsid w:val="00800E6D"/>
    <w:rsid w:val="00806AD3"/>
    <w:rsid w:val="00821EE7"/>
    <w:rsid w:val="00845504"/>
    <w:rsid w:val="00846448"/>
    <w:rsid w:val="00887F75"/>
    <w:rsid w:val="00897065"/>
    <w:rsid w:val="008A48FA"/>
    <w:rsid w:val="008A5021"/>
    <w:rsid w:val="008B15D7"/>
    <w:rsid w:val="008C1364"/>
    <w:rsid w:val="008C1784"/>
    <w:rsid w:val="008C6ED2"/>
    <w:rsid w:val="008E0081"/>
    <w:rsid w:val="008E32F5"/>
    <w:rsid w:val="008E5099"/>
    <w:rsid w:val="008F021C"/>
    <w:rsid w:val="00900777"/>
    <w:rsid w:val="0093073B"/>
    <w:rsid w:val="00960313"/>
    <w:rsid w:val="00965F07"/>
    <w:rsid w:val="00970BC3"/>
    <w:rsid w:val="00971CE9"/>
    <w:rsid w:val="00974858"/>
    <w:rsid w:val="00974E0A"/>
    <w:rsid w:val="009B222A"/>
    <w:rsid w:val="009B4783"/>
    <w:rsid w:val="009C1BB5"/>
    <w:rsid w:val="009C3466"/>
    <w:rsid w:val="009D1B09"/>
    <w:rsid w:val="009E7BB2"/>
    <w:rsid w:val="00A010B9"/>
    <w:rsid w:val="00A0353B"/>
    <w:rsid w:val="00A1474C"/>
    <w:rsid w:val="00A26906"/>
    <w:rsid w:val="00A4164C"/>
    <w:rsid w:val="00A636E2"/>
    <w:rsid w:val="00A8267D"/>
    <w:rsid w:val="00A91948"/>
    <w:rsid w:val="00A9326F"/>
    <w:rsid w:val="00A93A64"/>
    <w:rsid w:val="00AA1D13"/>
    <w:rsid w:val="00AA3B2A"/>
    <w:rsid w:val="00AA5C0A"/>
    <w:rsid w:val="00AC1A0F"/>
    <w:rsid w:val="00AD14F2"/>
    <w:rsid w:val="00AD27DE"/>
    <w:rsid w:val="00AD3EE2"/>
    <w:rsid w:val="00AE2315"/>
    <w:rsid w:val="00AF4A96"/>
    <w:rsid w:val="00B06AE3"/>
    <w:rsid w:val="00B11ADD"/>
    <w:rsid w:val="00B9140D"/>
    <w:rsid w:val="00B935D9"/>
    <w:rsid w:val="00BA3536"/>
    <w:rsid w:val="00BB0DB0"/>
    <w:rsid w:val="00BC6D13"/>
    <w:rsid w:val="00BD226E"/>
    <w:rsid w:val="00BE073D"/>
    <w:rsid w:val="00C05113"/>
    <w:rsid w:val="00C062B0"/>
    <w:rsid w:val="00C10C4F"/>
    <w:rsid w:val="00C202FE"/>
    <w:rsid w:val="00C34DC8"/>
    <w:rsid w:val="00C44F2E"/>
    <w:rsid w:val="00C4512B"/>
    <w:rsid w:val="00C65F31"/>
    <w:rsid w:val="00C66715"/>
    <w:rsid w:val="00C86322"/>
    <w:rsid w:val="00C95EE7"/>
    <w:rsid w:val="00C9799C"/>
    <w:rsid w:val="00CB26E2"/>
    <w:rsid w:val="00CB435C"/>
    <w:rsid w:val="00CB78B8"/>
    <w:rsid w:val="00CC1560"/>
    <w:rsid w:val="00CD0F21"/>
    <w:rsid w:val="00CD2A83"/>
    <w:rsid w:val="00CF5F6A"/>
    <w:rsid w:val="00CF6EF9"/>
    <w:rsid w:val="00D16B82"/>
    <w:rsid w:val="00D2666E"/>
    <w:rsid w:val="00D501B0"/>
    <w:rsid w:val="00D63508"/>
    <w:rsid w:val="00D70167"/>
    <w:rsid w:val="00D83AA0"/>
    <w:rsid w:val="00D87B22"/>
    <w:rsid w:val="00D93034"/>
    <w:rsid w:val="00DA0BCC"/>
    <w:rsid w:val="00DC00F9"/>
    <w:rsid w:val="00DD476E"/>
    <w:rsid w:val="00E00F1F"/>
    <w:rsid w:val="00E01E3C"/>
    <w:rsid w:val="00E167A0"/>
    <w:rsid w:val="00E21F73"/>
    <w:rsid w:val="00E32D98"/>
    <w:rsid w:val="00E43414"/>
    <w:rsid w:val="00E51E77"/>
    <w:rsid w:val="00E54A66"/>
    <w:rsid w:val="00E5774B"/>
    <w:rsid w:val="00E8121D"/>
    <w:rsid w:val="00E82C94"/>
    <w:rsid w:val="00EA77E3"/>
    <w:rsid w:val="00EB1102"/>
    <w:rsid w:val="00EC0211"/>
    <w:rsid w:val="00ED0256"/>
    <w:rsid w:val="00ED0DA7"/>
    <w:rsid w:val="00ED21A0"/>
    <w:rsid w:val="00EF6B02"/>
    <w:rsid w:val="00F05932"/>
    <w:rsid w:val="00F075AE"/>
    <w:rsid w:val="00F1347C"/>
    <w:rsid w:val="00F75612"/>
    <w:rsid w:val="00F80202"/>
    <w:rsid w:val="00F915D8"/>
    <w:rsid w:val="00FA490E"/>
    <w:rsid w:val="00FA66BA"/>
    <w:rsid w:val="00FC3D20"/>
    <w:rsid w:val="00FF2E4D"/>
    <w:rsid w:val="01657A8B"/>
    <w:rsid w:val="02DF598E"/>
    <w:rsid w:val="02E57613"/>
    <w:rsid w:val="045471C4"/>
    <w:rsid w:val="04553F6E"/>
    <w:rsid w:val="04C76D91"/>
    <w:rsid w:val="04D4291E"/>
    <w:rsid w:val="04EB64FF"/>
    <w:rsid w:val="05164C23"/>
    <w:rsid w:val="07DB4775"/>
    <w:rsid w:val="08B60FCD"/>
    <w:rsid w:val="08F07F5B"/>
    <w:rsid w:val="09C57F9D"/>
    <w:rsid w:val="0AAD14F9"/>
    <w:rsid w:val="0AE1251E"/>
    <w:rsid w:val="0BAB600D"/>
    <w:rsid w:val="0BAF665A"/>
    <w:rsid w:val="0C4E3D58"/>
    <w:rsid w:val="0D336E17"/>
    <w:rsid w:val="0D870F11"/>
    <w:rsid w:val="0DF06AB6"/>
    <w:rsid w:val="0E4A6D82"/>
    <w:rsid w:val="0E611762"/>
    <w:rsid w:val="0EAF6971"/>
    <w:rsid w:val="0EF669E1"/>
    <w:rsid w:val="0FED6590"/>
    <w:rsid w:val="101E7775"/>
    <w:rsid w:val="10DC1574"/>
    <w:rsid w:val="1198698C"/>
    <w:rsid w:val="11AA7966"/>
    <w:rsid w:val="12096398"/>
    <w:rsid w:val="13622204"/>
    <w:rsid w:val="13866C43"/>
    <w:rsid w:val="13A32481"/>
    <w:rsid w:val="141679B1"/>
    <w:rsid w:val="144813FA"/>
    <w:rsid w:val="150258D5"/>
    <w:rsid w:val="15205ED3"/>
    <w:rsid w:val="159E2C66"/>
    <w:rsid w:val="15B85137"/>
    <w:rsid w:val="16041BA6"/>
    <w:rsid w:val="16EF3DAF"/>
    <w:rsid w:val="175005C5"/>
    <w:rsid w:val="187854F2"/>
    <w:rsid w:val="18C66F88"/>
    <w:rsid w:val="18E16CEE"/>
    <w:rsid w:val="1B986887"/>
    <w:rsid w:val="1D231C99"/>
    <w:rsid w:val="1D2A530E"/>
    <w:rsid w:val="1DFF4B09"/>
    <w:rsid w:val="1E8219AC"/>
    <w:rsid w:val="1F0653D6"/>
    <w:rsid w:val="1F6B795B"/>
    <w:rsid w:val="1FF00B97"/>
    <w:rsid w:val="200535FF"/>
    <w:rsid w:val="20485A70"/>
    <w:rsid w:val="222114DC"/>
    <w:rsid w:val="242404B2"/>
    <w:rsid w:val="243C124F"/>
    <w:rsid w:val="26647BE9"/>
    <w:rsid w:val="27633C24"/>
    <w:rsid w:val="29283150"/>
    <w:rsid w:val="29C56BF1"/>
    <w:rsid w:val="2AC16902"/>
    <w:rsid w:val="2B626CC5"/>
    <w:rsid w:val="2BDB0938"/>
    <w:rsid w:val="2C9024A3"/>
    <w:rsid w:val="2CC55E02"/>
    <w:rsid w:val="2DE7759F"/>
    <w:rsid w:val="2EAF23A5"/>
    <w:rsid w:val="2F0D0E1E"/>
    <w:rsid w:val="2FB35B1D"/>
    <w:rsid w:val="311F0C14"/>
    <w:rsid w:val="31A57A34"/>
    <w:rsid w:val="32004C6A"/>
    <w:rsid w:val="32075FF9"/>
    <w:rsid w:val="32135C95"/>
    <w:rsid w:val="32195D2C"/>
    <w:rsid w:val="329D62E1"/>
    <w:rsid w:val="34220DB4"/>
    <w:rsid w:val="345745AF"/>
    <w:rsid w:val="3515264E"/>
    <w:rsid w:val="353A0493"/>
    <w:rsid w:val="3569521C"/>
    <w:rsid w:val="361B61C7"/>
    <w:rsid w:val="36AD3D17"/>
    <w:rsid w:val="378206DC"/>
    <w:rsid w:val="37DE5A4E"/>
    <w:rsid w:val="390E2601"/>
    <w:rsid w:val="39124ABE"/>
    <w:rsid w:val="3A512225"/>
    <w:rsid w:val="3A8D72B7"/>
    <w:rsid w:val="3ACA22B9"/>
    <w:rsid w:val="3B797920"/>
    <w:rsid w:val="3BF375EE"/>
    <w:rsid w:val="3CEE66E0"/>
    <w:rsid w:val="3D2F4655"/>
    <w:rsid w:val="3D8A5562"/>
    <w:rsid w:val="3D9B7F3D"/>
    <w:rsid w:val="3DFE3476"/>
    <w:rsid w:val="3E587BDC"/>
    <w:rsid w:val="3ECA4CD4"/>
    <w:rsid w:val="3F2D2006"/>
    <w:rsid w:val="3F6251B6"/>
    <w:rsid w:val="3FD17C46"/>
    <w:rsid w:val="40475A64"/>
    <w:rsid w:val="42E23FC2"/>
    <w:rsid w:val="43FB64F2"/>
    <w:rsid w:val="44586DC0"/>
    <w:rsid w:val="46BD6F7D"/>
    <w:rsid w:val="46F05C86"/>
    <w:rsid w:val="475278BE"/>
    <w:rsid w:val="479E0D55"/>
    <w:rsid w:val="48805DD2"/>
    <w:rsid w:val="492963C6"/>
    <w:rsid w:val="492E435B"/>
    <w:rsid w:val="49D942C7"/>
    <w:rsid w:val="4A0D2464"/>
    <w:rsid w:val="4A486C4A"/>
    <w:rsid w:val="4AFE195C"/>
    <w:rsid w:val="4B304B48"/>
    <w:rsid w:val="4B5562A0"/>
    <w:rsid w:val="4BC323F1"/>
    <w:rsid w:val="4BFE1DC3"/>
    <w:rsid w:val="4BFF5B3B"/>
    <w:rsid w:val="4C9B5A25"/>
    <w:rsid w:val="4D354A0D"/>
    <w:rsid w:val="4DB7491F"/>
    <w:rsid w:val="4DC4703C"/>
    <w:rsid w:val="4E0C414E"/>
    <w:rsid w:val="4E755725"/>
    <w:rsid w:val="4ECF7A46"/>
    <w:rsid w:val="4EE57FD2"/>
    <w:rsid w:val="4EE87D43"/>
    <w:rsid w:val="4FAB400F"/>
    <w:rsid w:val="503009B9"/>
    <w:rsid w:val="50804728"/>
    <w:rsid w:val="513203F0"/>
    <w:rsid w:val="51632454"/>
    <w:rsid w:val="51B01DB1"/>
    <w:rsid w:val="52732B71"/>
    <w:rsid w:val="52CB6777"/>
    <w:rsid w:val="53250C8E"/>
    <w:rsid w:val="532E3A5B"/>
    <w:rsid w:val="5429718F"/>
    <w:rsid w:val="550769B0"/>
    <w:rsid w:val="56102E1E"/>
    <w:rsid w:val="56124994"/>
    <w:rsid w:val="56743629"/>
    <w:rsid w:val="56D800A3"/>
    <w:rsid w:val="570861EB"/>
    <w:rsid w:val="57DD4F82"/>
    <w:rsid w:val="5A947624"/>
    <w:rsid w:val="5B0203A0"/>
    <w:rsid w:val="5B2353A2"/>
    <w:rsid w:val="5CA4072E"/>
    <w:rsid w:val="5D1D4073"/>
    <w:rsid w:val="5EAB5261"/>
    <w:rsid w:val="5F0E41AF"/>
    <w:rsid w:val="5F192639"/>
    <w:rsid w:val="60077D2E"/>
    <w:rsid w:val="603617D7"/>
    <w:rsid w:val="6074044E"/>
    <w:rsid w:val="60A95113"/>
    <w:rsid w:val="60B151FE"/>
    <w:rsid w:val="60FD15F7"/>
    <w:rsid w:val="615F4C5A"/>
    <w:rsid w:val="618C17C7"/>
    <w:rsid w:val="62E21FE6"/>
    <w:rsid w:val="630270EC"/>
    <w:rsid w:val="6341378F"/>
    <w:rsid w:val="63A75247"/>
    <w:rsid w:val="63E11CB1"/>
    <w:rsid w:val="64EA43B6"/>
    <w:rsid w:val="64FE2942"/>
    <w:rsid w:val="668C5268"/>
    <w:rsid w:val="66CB4B3F"/>
    <w:rsid w:val="67AB0CED"/>
    <w:rsid w:val="67D45B94"/>
    <w:rsid w:val="67E36D35"/>
    <w:rsid w:val="683A47A8"/>
    <w:rsid w:val="68676CB7"/>
    <w:rsid w:val="68955405"/>
    <w:rsid w:val="6931048F"/>
    <w:rsid w:val="6A00000E"/>
    <w:rsid w:val="6A49294B"/>
    <w:rsid w:val="6A52263C"/>
    <w:rsid w:val="6A592AD1"/>
    <w:rsid w:val="6A7A5576"/>
    <w:rsid w:val="6B316880"/>
    <w:rsid w:val="6BE44B4A"/>
    <w:rsid w:val="6C2E1E33"/>
    <w:rsid w:val="6D1B75AA"/>
    <w:rsid w:val="6D3C22F3"/>
    <w:rsid w:val="6D535020"/>
    <w:rsid w:val="6E0005AE"/>
    <w:rsid w:val="6E69475C"/>
    <w:rsid w:val="6ED3511D"/>
    <w:rsid w:val="6FB17851"/>
    <w:rsid w:val="6FB849AC"/>
    <w:rsid w:val="70700E45"/>
    <w:rsid w:val="709C5D3C"/>
    <w:rsid w:val="70A278C4"/>
    <w:rsid w:val="70DC2E9E"/>
    <w:rsid w:val="714D5A47"/>
    <w:rsid w:val="726E2F4F"/>
    <w:rsid w:val="727857FE"/>
    <w:rsid w:val="73B76B77"/>
    <w:rsid w:val="742C4E6F"/>
    <w:rsid w:val="742E1372"/>
    <w:rsid w:val="74A44FDB"/>
    <w:rsid w:val="75343153"/>
    <w:rsid w:val="75856B41"/>
    <w:rsid w:val="76285DB6"/>
    <w:rsid w:val="77661EB3"/>
    <w:rsid w:val="77777B42"/>
    <w:rsid w:val="795D5ACB"/>
    <w:rsid w:val="7A9C0875"/>
    <w:rsid w:val="7AE845AB"/>
    <w:rsid w:val="7C641F9C"/>
    <w:rsid w:val="7CBB5EAD"/>
    <w:rsid w:val="7CCD4AFB"/>
    <w:rsid w:val="7D2423F5"/>
    <w:rsid w:val="7D513B99"/>
    <w:rsid w:val="7D9B2509"/>
    <w:rsid w:val="7E6B032E"/>
    <w:rsid w:val="7E764C7A"/>
    <w:rsid w:val="7F5B1F50"/>
    <w:rsid w:val="7F8A51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12">
    <w:name w:val="Default Paragraph Font"/>
    <w:autoRedefine/>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autoRedefine/>
    <w:qFormat/>
    <w:uiPriority w:val="0"/>
    <w:pPr>
      <w:adjustRightInd w:val="0"/>
      <w:ind w:left="0" w:leftChars="0" w:firstLine="880" w:firstLineChars="200"/>
    </w:pPr>
    <w:rPr>
      <w:rFonts w:ascii="Calibri" w:hAnsi="Calibri" w:eastAsia="仿宋" w:cs="Times New Roman"/>
      <w:sz w:val="32"/>
    </w:rPr>
  </w:style>
  <w:style w:type="paragraph" w:styleId="3">
    <w:name w:val="Body Text Indent"/>
    <w:basedOn w:val="1"/>
    <w:autoRedefine/>
    <w:qFormat/>
    <w:uiPriority w:val="0"/>
    <w:pPr>
      <w:spacing w:after="120"/>
      <w:ind w:left="420" w:leftChars="200"/>
    </w:pPr>
  </w:style>
  <w:style w:type="paragraph" w:styleId="4">
    <w:name w:val="annotation text"/>
    <w:basedOn w:val="1"/>
    <w:link w:val="21"/>
    <w:autoRedefine/>
    <w:qFormat/>
    <w:uiPriority w:val="0"/>
    <w:pPr>
      <w:jc w:val="left"/>
    </w:pPr>
  </w:style>
  <w:style w:type="paragraph" w:styleId="5">
    <w:name w:val="Balloon Text"/>
    <w:basedOn w:val="1"/>
    <w:link w:val="16"/>
    <w:autoRedefine/>
    <w:qFormat/>
    <w:uiPriority w:val="0"/>
    <w:rPr>
      <w:sz w:val="18"/>
      <w:szCs w:val="18"/>
    </w:rPr>
  </w:style>
  <w:style w:type="paragraph" w:styleId="6">
    <w:name w:val="footer"/>
    <w:basedOn w:val="1"/>
    <w:link w:val="19"/>
    <w:autoRedefine/>
    <w:qFormat/>
    <w:uiPriority w:val="99"/>
    <w:pPr>
      <w:tabs>
        <w:tab w:val="center" w:pos="4153"/>
        <w:tab w:val="right" w:pos="8306"/>
      </w:tabs>
      <w:snapToGrid w:val="0"/>
      <w:jc w:val="left"/>
    </w:pPr>
    <w:rPr>
      <w:sz w:val="18"/>
      <w:szCs w:val="18"/>
    </w:rPr>
  </w:style>
  <w:style w:type="paragraph" w:styleId="7">
    <w:name w:val="header"/>
    <w:basedOn w:val="1"/>
    <w:link w:val="18"/>
    <w:autoRedefine/>
    <w:qFormat/>
    <w:uiPriority w:val="0"/>
    <w:pPr>
      <w:pBdr>
        <w:bottom w:val="single" w:color="auto" w:sz="6" w:space="1"/>
      </w:pBdr>
      <w:tabs>
        <w:tab w:val="center" w:pos="4153"/>
        <w:tab w:val="right" w:pos="8306"/>
      </w:tabs>
      <w:snapToGrid w:val="0"/>
      <w:jc w:val="center"/>
    </w:pPr>
    <w:rPr>
      <w:sz w:val="18"/>
      <w:szCs w:val="18"/>
    </w:rPr>
  </w:style>
  <w:style w:type="paragraph" w:styleId="8">
    <w:name w:val="Subtitle"/>
    <w:basedOn w:val="1"/>
    <w:next w:val="1"/>
    <w:link w:val="20"/>
    <w:autoRedefine/>
    <w:qFormat/>
    <w:uiPriority w:val="0"/>
    <w:pPr>
      <w:spacing w:line="594" w:lineRule="exact"/>
      <w:ind w:firstLine="200" w:firstLineChars="200"/>
      <w:jc w:val="left"/>
      <w:outlineLvl w:val="1"/>
    </w:pPr>
    <w:rPr>
      <w:rFonts w:ascii="Times New Roman" w:hAnsi="Times New Roman" w:eastAsia="黑体" w:cstheme="minorBidi"/>
      <w:bCs/>
      <w:kern w:val="28"/>
      <w:sz w:val="32"/>
      <w:szCs w:val="32"/>
    </w:rPr>
  </w:style>
  <w:style w:type="paragraph" w:styleId="9">
    <w:name w:val="Normal (Web)"/>
    <w:basedOn w:val="1"/>
    <w:autoRedefine/>
    <w:unhideWhenUsed/>
    <w:qFormat/>
    <w:uiPriority w:val="99"/>
    <w:pPr>
      <w:spacing w:beforeAutospacing="1" w:afterAutospacing="1"/>
      <w:jc w:val="left"/>
    </w:pPr>
    <w:rPr>
      <w:rFonts w:asciiTheme="minorHAnsi" w:hAnsiTheme="minorHAnsi" w:eastAsiaTheme="minorEastAsia"/>
      <w:kern w:val="0"/>
      <w:sz w:val="24"/>
      <w:szCs w:val="22"/>
    </w:rPr>
  </w:style>
  <w:style w:type="paragraph" w:styleId="10">
    <w:name w:val="annotation subject"/>
    <w:basedOn w:val="4"/>
    <w:next w:val="4"/>
    <w:link w:val="22"/>
    <w:autoRedefine/>
    <w:qFormat/>
    <w:uiPriority w:val="0"/>
    <w:rPr>
      <w:b/>
      <w:bCs/>
    </w:rPr>
  </w:style>
  <w:style w:type="character" w:styleId="13">
    <w:name w:val="Strong"/>
    <w:basedOn w:val="12"/>
    <w:autoRedefine/>
    <w:qFormat/>
    <w:uiPriority w:val="0"/>
    <w:rPr>
      <w:b/>
    </w:rPr>
  </w:style>
  <w:style w:type="character" w:styleId="14">
    <w:name w:val="annotation reference"/>
    <w:basedOn w:val="12"/>
    <w:autoRedefine/>
    <w:qFormat/>
    <w:uiPriority w:val="0"/>
    <w:rPr>
      <w:sz w:val="21"/>
      <w:szCs w:val="21"/>
    </w:rPr>
  </w:style>
  <w:style w:type="paragraph" w:customStyle="1" w:styleId="15">
    <w:name w:val="列出段落2"/>
    <w:basedOn w:val="1"/>
    <w:autoRedefine/>
    <w:qFormat/>
    <w:uiPriority w:val="34"/>
    <w:pPr>
      <w:ind w:firstLine="420" w:firstLineChars="200"/>
    </w:pPr>
  </w:style>
  <w:style w:type="character" w:customStyle="1" w:styleId="16">
    <w:name w:val="批注框文本 字符"/>
    <w:basedOn w:val="12"/>
    <w:link w:val="5"/>
    <w:autoRedefine/>
    <w:qFormat/>
    <w:uiPriority w:val="0"/>
    <w:rPr>
      <w:rFonts w:ascii="Calibri" w:hAnsi="Calibri" w:eastAsia="宋体" w:cs="Times New Roman"/>
      <w:kern w:val="2"/>
      <w:sz w:val="18"/>
      <w:szCs w:val="18"/>
    </w:rPr>
  </w:style>
  <w:style w:type="paragraph" w:styleId="17">
    <w:name w:val="List Paragraph"/>
    <w:basedOn w:val="1"/>
    <w:autoRedefine/>
    <w:qFormat/>
    <w:uiPriority w:val="34"/>
    <w:pPr>
      <w:ind w:firstLine="420" w:firstLineChars="200"/>
    </w:pPr>
    <w:rPr>
      <w:szCs w:val="22"/>
    </w:rPr>
  </w:style>
  <w:style w:type="character" w:customStyle="1" w:styleId="18">
    <w:name w:val="页眉 字符"/>
    <w:basedOn w:val="12"/>
    <w:link w:val="7"/>
    <w:autoRedefine/>
    <w:qFormat/>
    <w:uiPriority w:val="0"/>
    <w:rPr>
      <w:rFonts w:ascii="Calibri" w:hAnsi="Calibri" w:eastAsia="宋体" w:cs="Times New Roman"/>
      <w:kern w:val="2"/>
      <w:sz w:val="18"/>
      <w:szCs w:val="18"/>
    </w:rPr>
  </w:style>
  <w:style w:type="character" w:customStyle="1" w:styleId="19">
    <w:name w:val="页脚 字符"/>
    <w:basedOn w:val="12"/>
    <w:link w:val="6"/>
    <w:autoRedefine/>
    <w:qFormat/>
    <w:uiPriority w:val="99"/>
    <w:rPr>
      <w:rFonts w:ascii="Calibri" w:hAnsi="Calibri" w:eastAsia="宋体" w:cs="Times New Roman"/>
      <w:kern w:val="2"/>
      <w:sz w:val="18"/>
      <w:szCs w:val="18"/>
    </w:rPr>
  </w:style>
  <w:style w:type="character" w:customStyle="1" w:styleId="20">
    <w:name w:val="副标题 字符"/>
    <w:basedOn w:val="12"/>
    <w:link w:val="8"/>
    <w:autoRedefine/>
    <w:qFormat/>
    <w:uiPriority w:val="0"/>
    <w:rPr>
      <w:rFonts w:ascii="Times New Roman" w:hAnsi="Times New Roman" w:eastAsia="黑体"/>
      <w:bCs/>
      <w:kern w:val="28"/>
      <w:sz w:val="32"/>
      <w:szCs w:val="32"/>
    </w:rPr>
  </w:style>
  <w:style w:type="character" w:customStyle="1" w:styleId="21">
    <w:name w:val="批注文字 字符"/>
    <w:basedOn w:val="12"/>
    <w:link w:val="4"/>
    <w:autoRedefine/>
    <w:qFormat/>
    <w:uiPriority w:val="0"/>
    <w:rPr>
      <w:rFonts w:ascii="Calibri" w:hAnsi="Calibri" w:eastAsia="宋体" w:cs="Times New Roman"/>
      <w:kern w:val="2"/>
      <w:sz w:val="21"/>
      <w:szCs w:val="24"/>
    </w:rPr>
  </w:style>
  <w:style w:type="character" w:customStyle="1" w:styleId="22">
    <w:name w:val="批注主题 字符"/>
    <w:basedOn w:val="21"/>
    <w:link w:val="10"/>
    <w:autoRedefine/>
    <w:qFormat/>
    <w:uiPriority w:val="0"/>
    <w:rPr>
      <w:rFonts w:ascii="Calibri" w:hAnsi="Calibri" w:eastAsia="宋体" w:cs="Times New Roman"/>
      <w:b/>
      <w:bCs/>
      <w:kern w:val="2"/>
      <w:sz w:val="21"/>
      <w:szCs w:val="24"/>
    </w:rPr>
  </w:style>
  <w:style w:type="paragraph" w:customStyle="1" w:styleId="23">
    <w:name w:val="列出段落1"/>
    <w:basedOn w:val="1"/>
    <w:autoRedefine/>
    <w:qFormat/>
    <w:uiPriority w:val="34"/>
    <w:pPr>
      <w:ind w:firstLine="420" w:firstLineChars="200"/>
    </w:pPr>
    <w:rPr>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876</Words>
  <Characters>921</Characters>
  <Lines>16</Lines>
  <Paragraphs>4</Paragraphs>
  <TotalTime>0</TotalTime>
  <ScaleCrop>false</ScaleCrop>
  <LinksUpToDate>false</LinksUpToDate>
  <CharactersWithSpaces>927</CharactersWithSpaces>
  <Application>WPS Office_12.1.0.17440_F1E327BC-269C-435d-A152-05C5408002CA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2018-10-19T06:08:00Z</dcterms:created>
  <dc:creator>Anonymous</dc:creator>
  <cp:lastModifiedBy>Administrator</cp:lastModifiedBy>
  <dcterms:modified xsi:type="dcterms:W3CDTF">2024-07-11T01:48:36Z</dcterms:modified>
  <dc:title>附件1</dc:title>
  <cp:revision>128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2052-12.1.0.17440</vt:lpwstr>
  </property>
  <property fmtid="{D5CDD505-2E9C-101B-9397-08002B2CF9AE}" pid="3" name="ICV">
    <vt:lpwstr>665DFCFFE0C14853875C9B62468006AB</vt:lpwstr>
  </property>
</Properties>
</file>