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hAnsi="黑体" w:eastAsia="方正小标宋_GBK" w:cs="Times New Roman"/>
          <w:color w:val="000000" w:themeColor="text1"/>
          <w:sz w:val="44"/>
          <w:szCs w:val="44"/>
          <w14:textFill>
            <w14:solidFill>
              <w14:schemeClr w14:val="tx1"/>
            </w14:solidFill>
          </w14:textFill>
        </w:rPr>
        <w:t>部分不合格项目的小知识</w:t>
      </w:r>
    </w:p>
    <w:p>
      <w:pPr>
        <w:adjustRightInd w:val="0"/>
        <w:snapToGrid w:val="0"/>
        <w:spacing w:line="580" w:lineRule="exact"/>
        <w:textAlignment w:val="baseline"/>
        <w:rPr>
          <w:rFonts w:ascii="仿宋_GB2312" w:hAnsi="宋体" w:eastAsia="仿宋_GB2312" w:cs="黑体"/>
          <w:color w:val="auto"/>
          <w:kern w:val="0"/>
          <w:sz w:val="32"/>
          <w:szCs w:val="32"/>
        </w:rPr>
      </w:pPr>
    </w:p>
    <w:p>
      <w:pPr>
        <w:pStyle w:val="3"/>
        <w:rPr>
          <w:rFonts w:hint="eastAsia" w:eastAsia="黑体" w:cs="Times New Roman"/>
          <w:spacing w:val="-12"/>
          <w:sz w:val="32"/>
          <w:szCs w:val="32"/>
          <w:highlight w:val="none"/>
          <w:lang w:val="en-US" w:eastAsia="zh-CN"/>
        </w:rPr>
      </w:pPr>
      <w:r>
        <w:rPr>
          <w:rFonts w:hint="eastAsia" w:eastAsia="黑体" w:cs="Times New Roman"/>
          <w:spacing w:val="-12"/>
          <w:sz w:val="32"/>
          <w:szCs w:val="32"/>
          <w:highlight w:val="none"/>
          <w:lang w:val="en-US" w:eastAsia="zh-CN"/>
        </w:rPr>
        <w:t>一．铝的残留量</w:t>
      </w:r>
    </w:p>
    <w:p>
      <w:pPr>
        <w:pStyle w:val="3"/>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含铝 (aluminium) 食品添加剂(比如钾明、铵明矾) 可用作膨剂、稳定剂。按标准使用含铝食品添加剂不会对健康造成危害，但长期过量摄入铝可能与软骨病、骨质疏松等疾病有关。</w:t>
      </w:r>
    </w:p>
    <w:p>
      <w:pPr>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铝残留量超标的原因可能是个别生产经营企业为增加产品口感，在生产加工过程中超限量、超范围使用含铝添加剂，或者其使用的复配添加剂中铝含量过高，而在粉丝、粉条产品中，还可能是生产经营企业使用的原料受环境原因，天然含有较高含量的铝本底所致。</w:t>
      </w:r>
    </w:p>
    <w:p>
      <w:pPr>
        <w:keepNext w:val="0"/>
        <w:keepLines w:val="0"/>
        <w:pageBreakBefore w:val="0"/>
        <w:widowControl w:val="0"/>
        <w:kinsoku/>
        <w:wordWrap/>
        <w:overflowPunct/>
        <w:topLinePunct w:val="0"/>
        <w:autoSpaceDE/>
        <w:autoSpaceDN/>
        <w:bidi w:val="0"/>
        <w:snapToGrid/>
        <w:spacing w:line="594" w:lineRule="exact"/>
        <w:ind w:firstLine="592" w:firstLineChars="200"/>
        <w:textAlignment w:val="auto"/>
        <w:rPr>
          <w:rFonts w:hint="eastAsia" w:eastAsia="黑体" w:cs="Times New Roman"/>
          <w:spacing w:val="-12"/>
          <w:sz w:val="32"/>
          <w:szCs w:val="32"/>
          <w:highlight w:val="none"/>
          <w:lang w:val="en-US" w:eastAsia="zh-CN"/>
        </w:rPr>
      </w:pPr>
      <w:r>
        <w:rPr>
          <w:rFonts w:hint="eastAsia" w:eastAsia="黑体" w:cs="Times New Roman"/>
          <w:spacing w:val="-12"/>
          <w:sz w:val="32"/>
          <w:szCs w:val="32"/>
          <w:highlight w:val="none"/>
          <w:lang w:val="en-US" w:eastAsia="zh-CN"/>
        </w:rPr>
        <w:t>二、甜蜜素</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甜蜜素（</w:t>
      </w:r>
      <w:r>
        <w:rPr>
          <w:rFonts w:hint="default" w:ascii="仿宋_GB2312" w:hAnsi="仿宋_GB2312" w:eastAsia="仿宋_GB2312" w:cs="仿宋_GB2312"/>
          <w:color w:val="000000"/>
          <w:kern w:val="2"/>
          <w:sz w:val="32"/>
          <w:szCs w:val="32"/>
          <w:highlight w:val="none"/>
          <w:lang w:val="en-US" w:eastAsia="zh-CN" w:bidi="ar-SA"/>
        </w:rPr>
        <w:t>sodium cyclamate</w:t>
      </w:r>
      <w:r>
        <w:rPr>
          <w:rFonts w:hint="eastAsia" w:ascii="仿宋_GB2312" w:hAnsi="仿宋_GB2312" w:eastAsia="仿宋_GB2312" w:cs="仿宋_GB2312"/>
          <w:color w:val="000000"/>
          <w:kern w:val="2"/>
          <w:sz w:val="32"/>
          <w:szCs w:val="32"/>
          <w:highlight w:val="none"/>
          <w:lang w:val="en-US" w:eastAsia="zh-CN" w:bidi="ar-SA"/>
        </w:rPr>
        <w:t xml:space="preserve">），化学名称为环己基氨基磺酸钠，是一种常用甜味剂，其甜度是蔗糖的 </w:t>
      </w:r>
      <w:r>
        <w:rPr>
          <w:rFonts w:hint="default" w:ascii="仿宋_GB2312" w:hAnsi="仿宋_GB2312" w:eastAsia="仿宋_GB2312" w:cs="仿宋_GB2312"/>
          <w:color w:val="000000"/>
          <w:kern w:val="2"/>
          <w:sz w:val="32"/>
          <w:szCs w:val="32"/>
          <w:highlight w:val="none"/>
          <w:lang w:val="en-US" w:eastAsia="zh-CN" w:bidi="ar-SA"/>
        </w:rPr>
        <w:t>30</w:t>
      </w:r>
      <w:r>
        <w:rPr>
          <w:rFonts w:hint="eastAsia" w:ascii="仿宋_GB2312" w:hAnsi="仿宋_GB2312" w:eastAsia="仿宋_GB2312" w:cs="仿宋_GB2312"/>
          <w:color w:val="000000"/>
          <w:kern w:val="2"/>
          <w:sz w:val="32"/>
          <w:szCs w:val="32"/>
          <w:highlight w:val="none"/>
          <w:lang w:val="en-US" w:eastAsia="zh-CN" w:bidi="ar-SA"/>
        </w:rPr>
        <w:t>-</w:t>
      </w:r>
      <w:r>
        <w:rPr>
          <w:rFonts w:hint="default" w:ascii="仿宋_GB2312" w:hAnsi="仿宋_GB2312" w:eastAsia="仿宋_GB2312" w:cs="仿宋_GB2312"/>
          <w:color w:val="000000"/>
          <w:kern w:val="2"/>
          <w:sz w:val="32"/>
          <w:szCs w:val="32"/>
          <w:highlight w:val="none"/>
          <w:lang w:val="en-US" w:eastAsia="zh-CN" w:bidi="ar-SA"/>
        </w:rPr>
        <w:t xml:space="preserve">80 </w:t>
      </w:r>
      <w:r>
        <w:rPr>
          <w:rFonts w:hint="eastAsia" w:ascii="仿宋_GB2312" w:hAnsi="仿宋_GB2312" w:eastAsia="仿宋_GB2312" w:cs="仿宋_GB2312"/>
          <w:color w:val="000000"/>
          <w:kern w:val="2"/>
          <w:sz w:val="32"/>
          <w:szCs w:val="32"/>
          <w:highlight w:val="none"/>
          <w:lang w:val="en-US" w:eastAsia="zh-CN" w:bidi="ar-SA"/>
        </w:rPr>
        <w:t>倍，可用于饮料、果汁、冰激凌、糕点、蜜饯等食品。 人体不吸收甜蜜素，几乎全部原样从粪便排出。 甜蜜素在蜜饯凉果中的使用易超标，其主要原因为在蜜饯凉果中除了作为甜味剂使用 外，更重要的功能是增加风味。除了蜜饯凉果外，在腌渍的蔬菜中，也发现许多边远县镇农贸市场自产自销的散装酱菜中超标率较高。 使用应遵循《食品安全国家标准 食品添加剂使用标准》（</w:t>
      </w:r>
      <w:r>
        <w:rPr>
          <w:rFonts w:hint="default" w:ascii="仿宋_GB2312" w:hAnsi="仿宋_GB2312" w:eastAsia="仿宋_GB2312" w:cs="仿宋_GB2312"/>
          <w:color w:val="000000"/>
          <w:kern w:val="2"/>
          <w:sz w:val="32"/>
          <w:szCs w:val="32"/>
          <w:highlight w:val="none"/>
          <w:lang w:val="en-US" w:eastAsia="zh-CN" w:bidi="ar-SA"/>
        </w:rPr>
        <w:t>GB 2760-2014</w:t>
      </w:r>
      <w:r>
        <w:rPr>
          <w:rFonts w:hint="eastAsia" w:ascii="仿宋_GB2312" w:hAnsi="仿宋_GB2312" w:eastAsia="仿宋_GB2312" w:cs="仿宋_GB2312"/>
          <w:color w:val="000000"/>
          <w:kern w:val="2"/>
          <w:sz w:val="32"/>
          <w:szCs w:val="32"/>
          <w:highlight w:val="none"/>
          <w:lang w:val="en-US" w:eastAsia="zh-CN" w:bidi="ar-SA"/>
        </w:rPr>
        <w:t>）。</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592" w:firstLineChars="200"/>
        <w:textAlignment w:val="auto"/>
        <w:rPr>
          <w:rFonts w:hint="eastAsia" w:ascii="Calibri" w:hAnsi="Calibri" w:eastAsia="黑体" w:cs="Times New Roman"/>
          <w:spacing w:val="-12"/>
          <w:kern w:val="2"/>
          <w:sz w:val="32"/>
          <w:szCs w:val="32"/>
          <w:highlight w:val="none"/>
          <w:lang w:val="en-US" w:eastAsia="zh-CN" w:bidi="ar-SA"/>
        </w:rPr>
      </w:pPr>
      <w:r>
        <w:rPr>
          <w:rFonts w:hint="eastAsia" w:eastAsia="黑体" w:cs="Times New Roman"/>
          <w:spacing w:val="-12"/>
          <w:kern w:val="2"/>
          <w:sz w:val="32"/>
          <w:szCs w:val="32"/>
          <w:highlight w:val="none"/>
          <w:lang w:val="en-US" w:eastAsia="zh-CN" w:bidi="ar-SA"/>
        </w:rPr>
        <w:t>三</w:t>
      </w:r>
      <w:r>
        <w:rPr>
          <w:rFonts w:hint="eastAsia" w:ascii="Calibri" w:hAnsi="Calibri" w:eastAsia="黑体" w:cs="Times New Roman"/>
          <w:spacing w:val="-12"/>
          <w:kern w:val="2"/>
          <w:sz w:val="32"/>
          <w:szCs w:val="32"/>
          <w:highlight w:val="none"/>
          <w:lang w:val="en-US" w:eastAsia="zh-CN" w:bidi="ar-SA"/>
        </w:rPr>
        <w:t>、恩诺沙星</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思诺沙星属第三代喹诺酮类药。是一类人工合成的广谱抗菌药，用于治疗动物的皮肤感染、呼吸道感染等，是动物专属用药。大鼠急性经口毒性为实际无毒级，无遗传毒性、无致畸性和致癌性，主要引起耳廓软骨的变性性改变和睾丸毒性(精子形态学改变、生精小管萎缩等)，并可造成雄性大鼠不育。</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长期使用或者过度使用可能导致在人体中蓄积，进而对人体机能产生危害，还可能使人体产生耐药性菌株</w:t>
      </w:r>
      <w:r>
        <w:rPr>
          <w:rFonts w:hint="eastAsia" w:ascii="Times New Roman" w:hAnsi="Times New Roman" w:eastAsia="仿宋_GB2312" w:cs="Times New Roman"/>
          <w:color w:val="000000"/>
          <w:kern w:val="2"/>
          <w:sz w:val="32"/>
          <w:szCs w:val="32"/>
          <w:highlight w:val="none"/>
          <w:lang w:val="en-US" w:eastAsia="zh-CN" w:bidi="ar-SA"/>
        </w:rPr>
        <w:t>。</w:t>
      </w:r>
      <w:bookmarkStart w:id="0" w:name="_GoBack"/>
      <w:bookmarkEnd w:id="0"/>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592" w:firstLineChars="200"/>
        <w:textAlignment w:val="auto"/>
        <w:rPr>
          <w:rFonts w:hint="eastAsia" w:ascii="Calibri" w:hAnsi="Calibri" w:eastAsia="黑体" w:cs="Times New Roman"/>
          <w:spacing w:val="-12"/>
          <w:kern w:val="2"/>
          <w:sz w:val="32"/>
          <w:szCs w:val="32"/>
          <w:highlight w:val="none"/>
          <w:lang w:val="en-US" w:eastAsia="zh-CN" w:bidi="ar-SA"/>
        </w:rPr>
      </w:pPr>
      <w:r>
        <w:rPr>
          <w:rFonts w:hint="eastAsia" w:eastAsia="黑体" w:cs="Times New Roman"/>
          <w:spacing w:val="-12"/>
          <w:kern w:val="2"/>
          <w:sz w:val="32"/>
          <w:szCs w:val="32"/>
          <w:highlight w:val="none"/>
          <w:lang w:val="en-US" w:eastAsia="zh-CN" w:bidi="ar-SA"/>
        </w:rPr>
        <w:t>四</w:t>
      </w:r>
      <w:r>
        <w:rPr>
          <w:rFonts w:hint="eastAsia" w:ascii="Calibri" w:hAnsi="Calibri" w:eastAsia="黑体" w:cs="Times New Roman"/>
          <w:spacing w:val="-12"/>
          <w:kern w:val="2"/>
          <w:sz w:val="32"/>
          <w:szCs w:val="32"/>
          <w:highlight w:val="none"/>
          <w:lang w:val="en-US" w:eastAsia="zh-CN" w:bidi="ar-SA"/>
        </w:rPr>
        <w:t>、磺胺类药物</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磺胶类药物是一类人工合成的抑菌药，其具有抗菌谱广、性质稳定</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便于贮存、吸收迅速等优点。对磺胺类药物高度敏感的菌种有链球菌、肺炎球菌、沙门氏菌、化脓棒状杆菌等;次敏感菌种有葡萄球菌、变形杆菌、巴氏杆菌、大肠杆菌、产气夹膜梭菌、炭疽杆菌等。</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动物性产品的磺胺类药物残留通常很低，一般不会导致对人体的急性毒性作用;长期大量摄入磺胺类药物残留不合格的食品，可能在人体内蓄积，不利健康，可引起过敏反应和耐药性菌株的产生，也可能导致泌尿系统和肝脏损伤。</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592"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eastAsia="黑体" w:cs="Times New Roman"/>
          <w:spacing w:val="-12"/>
          <w:kern w:val="2"/>
          <w:sz w:val="32"/>
          <w:szCs w:val="32"/>
          <w:highlight w:val="none"/>
          <w:lang w:val="en-US" w:eastAsia="zh-CN" w:bidi="ar-SA"/>
        </w:rPr>
        <w:t>五</w:t>
      </w:r>
      <w:r>
        <w:rPr>
          <w:rFonts w:hint="eastAsia" w:ascii="Calibri" w:hAnsi="Calibri" w:eastAsia="黑体" w:cs="Times New Roman"/>
          <w:spacing w:val="-12"/>
          <w:kern w:val="2"/>
          <w:sz w:val="32"/>
          <w:szCs w:val="32"/>
          <w:highlight w:val="none"/>
          <w:lang w:val="en-US" w:eastAsia="zh-CN" w:bidi="ar-SA"/>
        </w:rPr>
        <w:t>、氟苯尼考</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氟</w:t>
      </w:r>
      <w:r>
        <w:rPr>
          <w:rFonts w:hint="eastAsia" w:ascii="Times New Roman" w:hAnsi="Times New Roman" w:eastAsia="仿宋_GB2312" w:cs="Times New Roman"/>
          <w:color w:val="000000"/>
          <w:kern w:val="2"/>
          <w:sz w:val="32"/>
          <w:szCs w:val="32"/>
          <w:highlight w:val="none"/>
          <w:lang w:val="en-US" w:eastAsia="zh-CN" w:bidi="ar-SA"/>
        </w:rPr>
        <w:t>苯</w:t>
      </w:r>
      <w:r>
        <w:rPr>
          <w:rFonts w:hint="default" w:ascii="Times New Roman" w:hAnsi="Times New Roman" w:eastAsia="仿宋_GB2312" w:cs="Times New Roman"/>
          <w:color w:val="000000"/>
          <w:kern w:val="2"/>
          <w:sz w:val="32"/>
          <w:szCs w:val="32"/>
          <w:highlight w:val="none"/>
          <w:lang w:val="en-US" w:eastAsia="zh-CN" w:bidi="ar-SA"/>
        </w:rPr>
        <w:t>尼考是一种兽医专用酰胺醇类广谱抗菌药,用于敏感细菌所致的猪、鸡及鱼的细菌性疾病，尤其对呼吸系统及肠道感染疗效显著。氟</w:t>
      </w:r>
      <w:r>
        <w:rPr>
          <w:rFonts w:hint="eastAsia" w:ascii="Times New Roman" w:hAnsi="Times New Roman" w:eastAsia="仿宋_GB2312" w:cs="Times New Roman"/>
          <w:color w:val="000000"/>
          <w:kern w:val="2"/>
          <w:sz w:val="32"/>
          <w:szCs w:val="32"/>
          <w:highlight w:val="none"/>
          <w:lang w:val="en-US" w:eastAsia="zh-CN" w:bidi="ar-SA"/>
        </w:rPr>
        <w:t>苯</w:t>
      </w:r>
      <w:r>
        <w:rPr>
          <w:rFonts w:hint="default" w:ascii="Times New Roman" w:hAnsi="Times New Roman" w:eastAsia="仿宋_GB2312" w:cs="Times New Roman"/>
          <w:color w:val="000000"/>
          <w:kern w:val="2"/>
          <w:sz w:val="32"/>
          <w:szCs w:val="32"/>
          <w:highlight w:val="none"/>
          <w:lang w:val="en-US" w:eastAsia="zh-CN" w:bidi="ar-SA"/>
        </w:rPr>
        <w:t>尼考敏感菌包括牛、猪的嗜血杆菌、痢疾志贺氏菌、沙门氏菌、大肠杆菌、肺炎球菌、链球菌、金黄色葡萄球菌以及衣原体、钩端螺旋体、立克次氏体等。</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氟苯尼考一般是通过饲料添加或者畜禽疾病治疗导致畜禽体内残留的积累。氟苯尼考对鸡的生殖系统有消炎作用，但同时会轻度抑制生殖激素的产生，造成鸡蛋早期胚胎的死亡。2002年我国农业部 235号公告《动物性食品中兽药最高残留限量》规定氟苯尼考“家禽(产蛋禁用)”。长期食用氟苯尼考残留超标的蛋品，对人体健康有一定风险。</w:t>
      </w:r>
    </w:p>
    <w:p>
      <w:pPr>
        <w:keepNext w:val="0"/>
        <w:keepLines w:val="0"/>
        <w:pageBreakBefore w:val="0"/>
        <w:widowControl w:val="0"/>
        <w:numPr>
          <w:ilvl w:val="0"/>
          <w:numId w:val="0"/>
        </w:numPr>
        <w:kinsoku/>
        <w:wordWrap/>
        <w:overflowPunct/>
        <w:topLinePunct w:val="0"/>
        <w:autoSpaceDE/>
        <w:autoSpaceDN/>
        <w:bidi w:val="0"/>
        <w:snapToGrid w:val="0"/>
        <w:spacing w:line="600" w:lineRule="atLeast"/>
        <w:ind w:leftChars="200" w:firstLine="320" w:firstLineChars="100"/>
        <w:textAlignment w:val="auto"/>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六、乙酰甲胺磷</w:t>
      </w:r>
    </w:p>
    <w:p>
      <w:pPr>
        <w:keepNext w:val="0"/>
        <w:keepLines w:val="0"/>
        <w:pageBreakBefore w:val="0"/>
        <w:widowControl w:val="0"/>
        <w:kinsoku/>
        <w:wordWrap/>
        <w:overflowPunct/>
        <w:topLinePunct w:val="0"/>
        <w:autoSpaceDE/>
        <w:autoSpaceDN/>
        <w:bidi w:val="0"/>
        <w:snapToGrid/>
        <w:spacing w:line="594" w:lineRule="exact"/>
        <w:ind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乙酰甲胺磷</w:t>
      </w:r>
      <w:r>
        <w:rPr>
          <w:rFonts w:hint="default" w:ascii="Times New Roman" w:hAnsi="Times New Roman" w:eastAsia="仿宋_GB2312" w:cs="Times New Roman"/>
          <w:color w:val="000000"/>
          <w:kern w:val="2"/>
          <w:sz w:val="32"/>
          <w:szCs w:val="32"/>
          <w:highlight w:val="none"/>
          <w:lang w:val="en-US" w:eastAsia="zh-CN" w:bidi="ar-SA"/>
        </w:rPr>
        <w:t>为</w:t>
      </w:r>
      <w:r>
        <w:rPr>
          <w:rFonts w:hint="default" w:ascii="Times New Roman" w:hAnsi="Times New Roman" w:eastAsia="仿宋_GB2312" w:cs="Times New Roman"/>
          <w:color w:val="000000"/>
          <w:kern w:val="2"/>
          <w:sz w:val="32"/>
          <w:szCs w:val="32"/>
          <w:highlight w:val="none"/>
          <w:lang w:val="en-US" w:eastAsia="zh-CN" w:bidi="ar-SA"/>
        </w:rPr>
        <w:fldChar w:fldCharType="begin"/>
      </w:r>
      <w:r>
        <w:rPr>
          <w:rFonts w:hint="default" w:ascii="Times New Roman" w:hAnsi="Times New Roman" w:eastAsia="仿宋_GB2312" w:cs="Times New Roman"/>
          <w:color w:val="000000"/>
          <w:kern w:val="2"/>
          <w:sz w:val="32"/>
          <w:szCs w:val="32"/>
          <w:highlight w:val="none"/>
          <w:lang w:val="en-US" w:eastAsia="zh-CN" w:bidi="ar-SA"/>
        </w:rPr>
        <w:instrText xml:space="preserve"> HYPERLINK "https://baike.baidu.com/item/%E5%86%85%E5%90%B8%E6%9D%80%E8%99%AB%E5%89%82/5511338?fromModule=lemma_inlink" \t "https://baike.baidu.com/item/%E4%B9%99%E9%85%B0%E7%94%B2%E8%83%BA%E7%A3%B7/_blank" </w:instrText>
      </w:r>
      <w:r>
        <w:rPr>
          <w:rFonts w:hint="default" w:ascii="Times New Roman" w:hAnsi="Times New Roman" w:eastAsia="仿宋_GB2312" w:cs="Times New Roman"/>
          <w:color w:val="000000"/>
          <w:kern w:val="2"/>
          <w:sz w:val="32"/>
          <w:szCs w:val="32"/>
          <w:highlight w:val="none"/>
          <w:lang w:val="en-US" w:eastAsia="zh-CN" w:bidi="ar-SA"/>
        </w:rPr>
        <w:fldChar w:fldCharType="separate"/>
      </w:r>
      <w:r>
        <w:rPr>
          <w:rFonts w:hint="default" w:ascii="Times New Roman" w:hAnsi="Times New Roman" w:eastAsia="仿宋_GB2312" w:cs="Times New Roman"/>
          <w:color w:val="000000"/>
          <w:kern w:val="2"/>
          <w:sz w:val="32"/>
          <w:szCs w:val="32"/>
          <w:highlight w:val="none"/>
          <w:lang w:val="en-US" w:eastAsia="zh-CN" w:bidi="ar-SA"/>
        </w:rPr>
        <w:t>内吸杀虫剂</w:t>
      </w:r>
      <w:r>
        <w:rPr>
          <w:rFonts w:hint="default" w:ascii="Times New Roman" w:hAnsi="Times New Roman" w:eastAsia="仿宋_GB2312" w:cs="Times New Roman"/>
          <w:color w:val="000000"/>
          <w:kern w:val="2"/>
          <w:sz w:val="32"/>
          <w:szCs w:val="32"/>
          <w:highlight w:val="none"/>
          <w:lang w:val="en-US" w:eastAsia="zh-CN" w:bidi="ar-SA"/>
        </w:rPr>
        <w:fldChar w:fldCharType="end"/>
      </w:r>
      <w:r>
        <w:rPr>
          <w:rFonts w:hint="default" w:ascii="Times New Roman" w:hAnsi="Times New Roman" w:eastAsia="仿宋_GB2312" w:cs="Times New Roman"/>
          <w:color w:val="000000"/>
          <w:kern w:val="2"/>
          <w:sz w:val="32"/>
          <w:szCs w:val="32"/>
          <w:highlight w:val="none"/>
          <w:lang w:val="en-US" w:eastAsia="zh-CN" w:bidi="ar-SA"/>
        </w:rPr>
        <w:t>，具有胃毒和</w:t>
      </w:r>
      <w:r>
        <w:rPr>
          <w:rFonts w:hint="default" w:ascii="Times New Roman" w:hAnsi="Times New Roman" w:eastAsia="仿宋_GB2312" w:cs="Times New Roman"/>
          <w:color w:val="000000"/>
          <w:kern w:val="2"/>
          <w:sz w:val="32"/>
          <w:szCs w:val="32"/>
          <w:highlight w:val="none"/>
          <w:lang w:val="en-US" w:eastAsia="zh-CN" w:bidi="ar-SA"/>
        </w:rPr>
        <w:fldChar w:fldCharType="begin"/>
      </w:r>
      <w:r>
        <w:rPr>
          <w:rFonts w:hint="default" w:ascii="Times New Roman" w:hAnsi="Times New Roman" w:eastAsia="仿宋_GB2312" w:cs="Times New Roman"/>
          <w:color w:val="000000"/>
          <w:kern w:val="2"/>
          <w:sz w:val="32"/>
          <w:szCs w:val="32"/>
          <w:highlight w:val="none"/>
          <w:lang w:val="en-US" w:eastAsia="zh-CN" w:bidi="ar-SA"/>
        </w:rPr>
        <w:instrText xml:space="preserve"> HYPERLINK "https://baike.baidu.com/item/%E8%A7%A6%E6%9D%80%E4%BD%9C%E7%94%A8/2645175?fromModule=lemma_inlink" \t "https://baike.baidu.com/item/%E4%B9%99%E9%85%B0%E7%94%B2%E8%83%BA%E7%A3%B7/_blank" </w:instrText>
      </w:r>
      <w:r>
        <w:rPr>
          <w:rFonts w:hint="default" w:ascii="Times New Roman" w:hAnsi="Times New Roman" w:eastAsia="仿宋_GB2312" w:cs="Times New Roman"/>
          <w:color w:val="000000"/>
          <w:kern w:val="2"/>
          <w:sz w:val="32"/>
          <w:szCs w:val="32"/>
          <w:highlight w:val="none"/>
          <w:lang w:val="en-US" w:eastAsia="zh-CN" w:bidi="ar-SA"/>
        </w:rPr>
        <w:fldChar w:fldCharType="separate"/>
      </w:r>
      <w:r>
        <w:rPr>
          <w:rFonts w:hint="default" w:ascii="Times New Roman" w:hAnsi="Times New Roman" w:eastAsia="仿宋_GB2312" w:cs="Times New Roman"/>
          <w:color w:val="000000"/>
          <w:kern w:val="2"/>
          <w:sz w:val="32"/>
          <w:szCs w:val="32"/>
          <w:highlight w:val="none"/>
          <w:lang w:val="en-US" w:eastAsia="zh-CN" w:bidi="ar-SA"/>
        </w:rPr>
        <w:t>触杀作用</w:t>
      </w:r>
      <w:r>
        <w:rPr>
          <w:rFonts w:hint="default" w:ascii="Times New Roman" w:hAnsi="Times New Roman" w:eastAsia="仿宋_GB2312" w:cs="Times New Roman"/>
          <w:color w:val="000000"/>
          <w:kern w:val="2"/>
          <w:sz w:val="32"/>
          <w:szCs w:val="32"/>
          <w:highlight w:val="none"/>
          <w:lang w:val="en-US" w:eastAsia="zh-CN" w:bidi="ar-SA"/>
        </w:rPr>
        <w:fldChar w:fldCharType="end"/>
      </w:r>
      <w:r>
        <w:rPr>
          <w:rFonts w:hint="default" w:ascii="Times New Roman" w:hAnsi="Times New Roman" w:eastAsia="仿宋_GB2312" w:cs="Times New Roman"/>
          <w:color w:val="000000"/>
          <w:kern w:val="2"/>
          <w:sz w:val="32"/>
          <w:szCs w:val="32"/>
          <w:highlight w:val="none"/>
          <w:lang w:val="en-US" w:eastAsia="zh-CN" w:bidi="ar-SA"/>
        </w:rPr>
        <w:t>，并可杀卵，有一定的</w:t>
      </w:r>
      <w:r>
        <w:rPr>
          <w:rFonts w:hint="default" w:ascii="Times New Roman" w:hAnsi="Times New Roman" w:eastAsia="仿宋_GB2312" w:cs="Times New Roman"/>
          <w:color w:val="000000"/>
          <w:kern w:val="2"/>
          <w:sz w:val="32"/>
          <w:szCs w:val="32"/>
          <w:highlight w:val="none"/>
          <w:lang w:val="en-US" w:eastAsia="zh-CN" w:bidi="ar-SA"/>
        </w:rPr>
        <w:fldChar w:fldCharType="begin"/>
      </w:r>
      <w:r>
        <w:rPr>
          <w:rFonts w:hint="default" w:ascii="Times New Roman" w:hAnsi="Times New Roman" w:eastAsia="仿宋_GB2312" w:cs="Times New Roman"/>
          <w:color w:val="000000"/>
          <w:kern w:val="2"/>
          <w:sz w:val="32"/>
          <w:szCs w:val="32"/>
          <w:highlight w:val="none"/>
          <w:lang w:val="en-US" w:eastAsia="zh-CN" w:bidi="ar-SA"/>
        </w:rPr>
        <w:instrText xml:space="preserve"> HYPERLINK "https://baike.baidu.com/item/%E7%86%8F%E8%92%B8%E4%BD%9C%E7%94%A8/1413381?fromModule=lemma_inlink" \t "https://baike.baidu.com/item/%E4%B9%99%E9%85%B0%E7%94%B2%E8%83%BA%E7%A3%B7/_blank" </w:instrText>
      </w:r>
      <w:r>
        <w:rPr>
          <w:rFonts w:hint="default" w:ascii="Times New Roman" w:hAnsi="Times New Roman" w:eastAsia="仿宋_GB2312" w:cs="Times New Roman"/>
          <w:color w:val="000000"/>
          <w:kern w:val="2"/>
          <w:sz w:val="32"/>
          <w:szCs w:val="32"/>
          <w:highlight w:val="none"/>
          <w:lang w:val="en-US" w:eastAsia="zh-CN" w:bidi="ar-SA"/>
        </w:rPr>
        <w:fldChar w:fldCharType="separate"/>
      </w:r>
      <w:r>
        <w:rPr>
          <w:rFonts w:hint="default" w:ascii="Times New Roman" w:hAnsi="Times New Roman" w:eastAsia="仿宋_GB2312" w:cs="Times New Roman"/>
          <w:color w:val="000000"/>
          <w:kern w:val="2"/>
          <w:sz w:val="32"/>
          <w:szCs w:val="32"/>
          <w:highlight w:val="none"/>
          <w:lang w:val="en-US" w:eastAsia="zh-CN" w:bidi="ar-SA"/>
        </w:rPr>
        <w:t>熏蒸作用</w:t>
      </w:r>
      <w:r>
        <w:rPr>
          <w:rFonts w:hint="default" w:ascii="Times New Roman" w:hAnsi="Times New Roman" w:eastAsia="仿宋_GB2312" w:cs="Times New Roman"/>
          <w:color w:val="000000"/>
          <w:kern w:val="2"/>
          <w:sz w:val="32"/>
          <w:szCs w:val="32"/>
          <w:highlight w:val="none"/>
          <w:lang w:val="en-US" w:eastAsia="zh-CN" w:bidi="ar-SA"/>
        </w:rPr>
        <w:fldChar w:fldCharType="end"/>
      </w:r>
      <w:r>
        <w:rPr>
          <w:rFonts w:hint="default" w:ascii="Times New Roman" w:hAnsi="Times New Roman" w:eastAsia="仿宋_GB2312" w:cs="Times New Roman"/>
          <w:color w:val="000000"/>
          <w:kern w:val="2"/>
          <w:sz w:val="32"/>
          <w:szCs w:val="32"/>
          <w:highlight w:val="none"/>
          <w:lang w:val="en-US" w:eastAsia="zh-CN" w:bidi="ar-SA"/>
        </w:rPr>
        <w:t>，是缓效型杀虫剂。该类农药抑制体内</w:t>
      </w:r>
      <w:r>
        <w:rPr>
          <w:rFonts w:hint="default" w:ascii="Times New Roman" w:hAnsi="Times New Roman" w:eastAsia="仿宋_GB2312" w:cs="Times New Roman"/>
          <w:color w:val="000000"/>
          <w:kern w:val="2"/>
          <w:sz w:val="32"/>
          <w:szCs w:val="32"/>
          <w:highlight w:val="none"/>
          <w:lang w:val="en-US" w:eastAsia="zh-CN" w:bidi="ar-SA"/>
        </w:rPr>
        <w:fldChar w:fldCharType="begin"/>
      </w:r>
      <w:r>
        <w:rPr>
          <w:rFonts w:hint="default" w:ascii="Times New Roman" w:hAnsi="Times New Roman" w:eastAsia="仿宋_GB2312" w:cs="Times New Roman"/>
          <w:color w:val="000000"/>
          <w:kern w:val="2"/>
          <w:sz w:val="32"/>
          <w:szCs w:val="32"/>
          <w:highlight w:val="none"/>
          <w:lang w:val="en-US" w:eastAsia="zh-CN" w:bidi="ar-SA"/>
        </w:rPr>
        <w:instrText xml:space="preserve"> HYPERLINK "https://baike.baidu.com/item/%E8%83%86%E7%A2%B1%E9%85%AF%E9%85%B6/2523529?fromModule=lemma_inlink" \t "https://baike.baidu.com/item/%E4%B9%99%E9%85%B0%E7%94%B2%E8%83%BA%E7%A3%B7/_blank" </w:instrText>
      </w:r>
      <w:r>
        <w:rPr>
          <w:rFonts w:hint="default" w:ascii="Times New Roman" w:hAnsi="Times New Roman" w:eastAsia="仿宋_GB2312" w:cs="Times New Roman"/>
          <w:color w:val="000000"/>
          <w:kern w:val="2"/>
          <w:sz w:val="32"/>
          <w:szCs w:val="32"/>
          <w:highlight w:val="none"/>
          <w:lang w:val="en-US" w:eastAsia="zh-CN" w:bidi="ar-SA"/>
        </w:rPr>
        <w:fldChar w:fldCharType="separate"/>
      </w:r>
      <w:r>
        <w:rPr>
          <w:rFonts w:hint="default" w:ascii="Times New Roman" w:hAnsi="Times New Roman" w:eastAsia="仿宋_GB2312" w:cs="Times New Roman"/>
          <w:color w:val="000000"/>
          <w:kern w:val="2"/>
          <w:sz w:val="32"/>
          <w:szCs w:val="32"/>
          <w:highlight w:val="none"/>
          <w:lang w:val="en-US" w:eastAsia="zh-CN" w:bidi="ar-SA"/>
        </w:rPr>
        <w:t>胆碱酯酶</w:t>
      </w:r>
      <w:r>
        <w:rPr>
          <w:rFonts w:hint="default" w:ascii="Times New Roman" w:hAnsi="Times New Roman" w:eastAsia="仿宋_GB2312" w:cs="Times New Roman"/>
          <w:color w:val="000000"/>
          <w:kern w:val="2"/>
          <w:sz w:val="32"/>
          <w:szCs w:val="32"/>
          <w:highlight w:val="none"/>
          <w:lang w:val="en-US" w:eastAsia="zh-CN" w:bidi="ar-SA"/>
        </w:rPr>
        <w:fldChar w:fldCharType="end"/>
      </w:r>
      <w:r>
        <w:rPr>
          <w:rFonts w:hint="default" w:ascii="Times New Roman" w:hAnsi="Times New Roman" w:eastAsia="仿宋_GB2312" w:cs="Times New Roman"/>
          <w:color w:val="000000"/>
          <w:kern w:val="2"/>
          <w:sz w:val="32"/>
          <w:szCs w:val="32"/>
          <w:highlight w:val="none"/>
          <w:lang w:val="en-US" w:eastAsia="zh-CN" w:bidi="ar-SA"/>
        </w:rPr>
        <w:t>，造成神经生理</w:t>
      </w:r>
      <w:r>
        <w:rPr>
          <w:rFonts w:hint="default" w:ascii="Times New Roman" w:hAnsi="Times New Roman" w:eastAsia="仿宋_GB2312" w:cs="Times New Roman"/>
          <w:color w:val="000000"/>
          <w:kern w:val="2"/>
          <w:sz w:val="32"/>
          <w:szCs w:val="32"/>
          <w:highlight w:val="none"/>
          <w:lang w:val="en-US" w:eastAsia="zh-CN" w:bidi="ar-SA"/>
        </w:rPr>
        <w:fldChar w:fldCharType="begin"/>
      </w:r>
      <w:r>
        <w:rPr>
          <w:rFonts w:hint="default" w:ascii="Times New Roman" w:hAnsi="Times New Roman" w:eastAsia="仿宋_GB2312" w:cs="Times New Roman"/>
          <w:color w:val="000000"/>
          <w:kern w:val="2"/>
          <w:sz w:val="32"/>
          <w:szCs w:val="32"/>
          <w:highlight w:val="none"/>
          <w:lang w:val="en-US" w:eastAsia="zh-CN" w:bidi="ar-SA"/>
        </w:rPr>
        <w:instrText xml:space="preserve"> HYPERLINK "https://baike.baidu.com/item/%E5%8A%9F%E8%83%BD%E7%B4%8A%E4%B9%B1/15547340?fromModule=lemma_inlink" \t "https://baike.baidu.com/item/%E4%B9%99%E9%85%B0%E7%94%B2%E8%83%BA%E7%A3%B7/_blank" </w:instrText>
      </w:r>
      <w:r>
        <w:rPr>
          <w:rFonts w:hint="default" w:ascii="Times New Roman" w:hAnsi="Times New Roman" w:eastAsia="仿宋_GB2312" w:cs="Times New Roman"/>
          <w:color w:val="000000"/>
          <w:kern w:val="2"/>
          <w:sz w:val="32"/>
          <w:szCs w:val="32"/>
          <w:highlight w:val="none"/>
          <w:lang w:val="en-US" w:eastAsia="zh-CN" w:bidi="ar-SA"/>
        </w:rPr>
        <w:fldChar w:fldCharType="separate"/>
      </w:r>
      <w:r>
        <w:rPr>
          <w:rFonts w:hint="default" w:ascii="Times New Roman" w:hAnsi="Times New Roman" w:eastAsia="仿宋_GB2312" w:cs="Times New Roman"/>
          <w:color w:val="000000"/>
          <w:kern w:val="2"/>
          <w:sz w:val="32"/>
          <w:szCs w:val="32"/>
          <w:highlight w:val="none"/>
          <w:lang w:val="en-US" w:eastAsia="zh-CN" w:bidi="ar-SA"/>
        </w:rPr>
        <w:t>功能紊乱</w:t>
      </w:r>
      <w:r>
        <w:rPr>
          <w:rFonts w:hint="default" w:ascii="Times New Roman" w:hAnsi="Times New Roman" w:eastAsia="仿宋_GB2312" w:cs="Times New Roman"/>
          <w:color w:val="000000"/>
          <w:kern w:val="2"/>
          <w:sz w:val="32"/>
          <w:szCs w:val="32"/>
          <w:highlight w:val="none"/>
          <w:lang w:val="en-US" w:eastAsia="zh-CN" w:bidi="ar-SA"/>
        </w:rPr>
        <w:fldChar w:fldCharType="end"/>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中毒表现有头痛、头昏、</w:t>
      </w:r>
      <w:r>
        <w:rPr>
          <w:rFonts w:hint="default" w:ascii="Times New Roman" w:hAnsi="Times New Roman" w:eastAsia="仿宋_GB2312" w:cs="Times New Roman"/>
          <w:color w:val="000000"/>
          <w:kern w:val="2"/>
          <w:sz w:val="32"/>
          <w:szCs w:val="32"/>
          <w:highlight w:val="none"/>
          <w:lang w:val="en-US" w:eastAsia="zh-CN" w:bidi="ar-SA"/>
        </w:rPr>
        <w:fldChar w:fldCharType="begin"/>
      </w:r>
      <w:r>
        <w:rPr>
          <w:rFonts w:hint="default" w:ascii="Times New Roman" w:hAnsi="Times New Roman" w:eastAsia="仿宋_GB2312" w:cs="Times New Roman"/>
          <w:color w:val="000000"/>
          <w:kern w:val="2"/>
          <w:sz w:val="32"/>
          <w:szCs w:val="32"/>
          <w:highlight w:val="none"/>
          <w:lang w:val="en-US" w:eastAsia="zh-CN" w:bidi="ar-SA"/>
        </w:rPr>
        <w:instrText xml:space="preserve"> HYPERLINK "https://baike.baidu.com/item/%E9%A3%9F%E6%AC%B2%E5%87%8F%E9%80%80/295439?fromModule=lemma_inlink" \t "https://baike.baidu.com/item/%E4%B9%99%E9%85%B0%E7%94%B2%E8%83%BA%E7%A3%B7/_blank" </w:instrText>
      </w:r>
      <w:r>
        <w:rPr>
          <w:rFonts w:hint="default" w:ascii="Times New Roman" w:hAnsi="Times New Roman" w:eastAsia="仿宋_GB2312" w:cs="Times New Roman"/>
          <w:color w:val="000000"/>
          <w:kern w:val="2"/>
          <w:sz w:val="32"/>
          <w:szCs w:val="32"/>
          <w:highlight w:val="none"/>
          <w:lang w:val="en-US" w:eastAsia="zh-CN" w:bidi="ar-SA"/>
        </w:rPr>
        <w:fldChar w:fldCharType="separate"/>
      </w:r>
      <w:r>
        <w:rPr>
          <w:rFonts w:hint="default" w:ascii="Times New Roman" w:hAnsi="Times New Roman" w:eastAsia="仿宋_GB2312" w:cs="Times New Roman"/>
          <w:color w:val="000000"/>
          <w:kern w:val="2"/>
          <w:sz w:val="32"/>
          <w:szCs w:val="32"/>
          <w:highlight w:val="none"/>
          <w:lang w:val="en-US" w:eastAsia="zh-CN" w:bidi="ar-SA"/>
        </w:rPr>
        <w:t>食欲减退</w:t>
      </w:r>
      <w:r>
        <w:rPr>
          <w:rFonts w:hint="default" w:ascii="Times New Roman" w:hAnsi="Times New Roman" w:eastAsia="仿宋_GB2312" w:cs="Times New Roman"/>
          <w:color w:val="000000"/>
          <w:kern w:val="2"/>
          <w:sz w:val="32"/>
          <w:szCs w:val="32"/>
          <w:highlight w:val="none"/>
          <w:lang w:val="en-US" w:eastAsia="zh-CN" w:bidi="ar-SA"/>
        </w:rPr>
        <w:fldChar w:fldCharType="end"/>
      </w:r>
      <w:r>
        <w:rPr>
          <w:rFonts w:hint="default" w:ascii="Times New Roman" w:hAnsi="Times New Roman" w:eastAsia="仿宋_GB2312" w:cs="Times New Roman"/>
          <w:color w:val="000000"/>
          <w:kern w:val="2"/>
          <w:sz w:val="32"/>
          <w:szCs w:val="32"/>
          <w:highlight w:val="none"/>
          <w:lang w:val="en-US" w:eastAsia="zh-CN" w:bidi="ar-SA"/>
        </w:rPr>
        <w:t>、恶心、呕吐、腹痛、腹泻</w:t>
      </w:r>
      <w:r>
        <w:rPr>
          <w:rFonts w:hint="eastAsia" w:ascii="Times New Roman" w:hAnsi="Times New Roman" w:eastAsia="仿宋_GB2312" w:cs="Times New Roman"/>
          <w:color w:val="000000"/>
          <w:kern w:val="2"/>
          <w:sz w:val="32"/>
          <w:szCs w:val="32"/>
          <w:highlight w:val="none"/>
          <w:lang w:val="en-US" w:eastAsia="zh-CN" w:bidi="ar-SA"/>
        </w:rPr>
        <w:t>等。</w:t>
      </w:r>
      <w:r>
        <w:rPr>
          <w:rFonts w:hint="default" w:ascii="Times New Roman" w:hAnsi="Times New Roman" w:eastAsia="仿宋_GB2312" w:cs="Times New Roman"/>
          <w:color w:val="000000"/>
          <w:kern w:val="2"/>
          <w:sz w:val="32"/>
          <w:szCs w:val="32"/>
          <w:highlight w:val="none"/>
          <w:lang w:val="en-US" w:eastAsia="zh-CN" w:bidi="ar-SA"/>
        </w:rPr>
        <w:t>《食品安全国家标准 食品中农药最大残留限量》（GB 2763—2021）中规定，</w:t>
      </w:r>
      <w:r>
        <w:rPr>
          <w:rFonts w:hint="eastAsia" w:ascii="Times New Roman" w:hAnsi="Times New Roman" w:eastAsia="仿宋_GB2312" w:cs="Times New Roman"/>
          <w:color w:val="000000"/>
          <w:kern w:val="2"/>
          <w:sz w:val="32"/>
          <w:szCs w:val="32"/>
          <w:highlight w:val="none"/>
          <w:lang w:val="en-US" w:eastAsia="zh-CN" w:bidi="ar-SA"/>
        </w:rPr>
        <w:t>荷兰豆中乙酰甲胺磷的</w:t>
      </w:r>
      <w:r>
        <w:rPr>
          <w:rFonts w:hint="default" w:ascii="Times New Roman" w:hAnsi="Times New Roman" w:eastAsia="仿宋_GB2312" w:cs="Times New Roman"/>
          <w:color w:val="000000"/>
          <w:kern w:val="2"/>
          <w:sz w:val="32"/>
          <w:szCs w:val="32"/>
          <w:highlight w:val="none"/>
          <w:lang w:val="en-US" w:eastAsia="zh-CN" w:bidi="ar-SA"/>
        </w:rPr>
        <w:t>最大残留限量为0.</w:t>
      </w:r>
      <w:r>
        <w:rPr>
          <w:rFonts w:hint="eastAsia" w:ascii="Times New Roman" w:hAnsi="Times New Roman" w:eastAsia="仿宋_GB2312" w:cs="Times New Roman"/>
          <w:color w:val="000000"/>
          <w:kern w:val="2"/>
          <w:sz w:val="32"/>
          <w:szCs w:val="32"/>
          <w:highlight w:val="none"/>
          <w:lang w:val="en-US" w:eastAsia="zh-CN" w:bidi="ar-SA"/>
        </w:rPr>
        <w:t>02</w:t>
      </w:r>
      <w:r>
        <w:rPr>
          <w:rFonts w:hint="default" w:ascii="Times New Roman" w:hAnsi="Times New Roman" w:eastAsia="仿宋_GB2312" w:cs="Times New Roman"/>
          <w:color w:val="000000"/>
          <w:kern w:val="2"/>
          <w:sz w:val="32"/>
          <w:szCs w:val="32"/>
          <w:highlight w:val="none"/>
          <w:lang w:val="en-US" w:eastAsia="zh-CN" w:bidi="ar-SA"/>
        </w:rPr>
        <w:t>mg/kg。食用食品一般不会导致</w:t>
      </w:r>
      <w:r>
        <w:rPr>
          <w:rFonts w:hint="eastAsia" w:ascii="Times New Roman" w:hAnsi="Times New Roman" w:eastAsia="仿宋_GB2312" w:cs="Times New Roman"/>
          <w:color w:val="000000"/>
          <w:kern w:val="2"/>
          <w:sz w:val="32"/>
          <w:szCs w:val="32"/>
          <w:highlight w:val="none"/>
          <w:lang w:val="en-US" w:eastAsia="zh-CN" w:bidi="ar-SA"/>
        </w:rPr>
        <w:t>乙酰甲胺磷</w:t>
      </w:r>
      <w:r>
        <w:rPr>
          <w:rFonts w:hint="default" w:ascii="Times New Roman" w:hAnsi="Times New Roman" w:eastAsia="仿宋_GB2312" w:cs="Times New Roman"/>
          <w:color w:val="000000"/>
          <w:kern w:val="2"/>
          <w:sz w:val="32"/>
          <w:szCs w:val="32"/>
          <w:highlight w:val="none"/>
          <w:lang w:val="en-US" w:eastAsia="zh-CN" w:bidi="ar-SA"/>
        </w:rPr>
        <w:t>的急性中毒，但长期食用</w:t>
      </w:r>
      <w:r>
        <w:rPr>
          <w:rFonts w:hint="eastAsia" w:ascii="Times New Roman" w:hAnsi="Times New Roman" w:eastAsia="仿宋_GB2312" w:cs="Times New Roman"/>
          <w:color w:val="000000"/>
          <w:kern w:val="2"/>
          <w:sz w:val="32"/>
          <w:szCs w:val="32"/>
          <w:highlight w:val="none"/>
          <w:lang w:val="en-US" w:eastAsia="zh-CN" w:bidi="ar-SA"/>
        </w:rPr>
        <w:t>乙酰甲胺磷</w:t>
      </w:r>
      <w:r>
        <w:rPr>
          <w:rFonts w:hint="default" w:ascii="Times New Roman" w:hAnsi="Times New Roman" w:eastAsia="仿宋_GB2312" w:cs="Times New Roman"/>
          <w:color w:val="000000"/>
          <w:kern w:val="2"/>
          <w:sz w:val="32"/>
          <w:szCs w:val="32"/>
          <w:highlight w:val="none"/>
          <w:lang w:val="en-US" w:eastAsia="zh-CN" w:bidi="ar-SA"/>
        </w:rPr>
        <w:t>超标的食品，对人体健康也有一定影响。</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592" w:firstLineChars="200"/>
        <w:textAlignment w:val="auto"/>
        <w:rPr>
          <w:rFonts w:hint="eastAsia" w:ascii="Calibri" w:hAnsi="Calibri" w:eastAsia="黑体" w:cs="Times New Roman"/>
          <w:spacing w:val="-12"/>
          <w:kern w:val="2"/>
          <w:sz w:val="32"/>
          <w:szCs w:val="32"/>
          <w:highlight w:val="none"/>
          <w:lang w:val="en-US" w:eastAsia="zh-CN" w:bidi="ar-SA"/>
        </w:rPr>
      </w:pPr>
      <w:r>
        <w:rPr>
          <w:rFonts w:hint="eastAsia" w:eastAsia="黑体" w:cs="Times New Roman"/>
          <w:spacing w:val="-12"/>
          <w:kern w:val="2"/>
          <w:sz w:val="32"/>
          <w:szCs w:val="32"/>
          <w:highlight w:val="none"/>
          <w:lang w:val="en-US" w:eastAsia="zh-CN" w:bidi="ar-SA"/>
        </w:rPr>
        <w:t>七</w:t>
      </w:r>
      <w:r>
        <w:rPr>
          <w:rFonts w:hint="eastAsia" w:ascii="Calibri" w:hAnsi="Calibri" w:eastAsia="黑体" w:cs="Times New Roman"/>
          <w:spacing w:val="-12"/>
          <w:kern w:val="2"/>
          <w:sz w:val="32"/>
          <w:szCs w:val="32"/>
          <w:highlight w:val="none"/>
          <w:lang w:val="en-US" w:eastAsia="zh-CN" w:bidi="ar-SA"/>
        </w:rPr>
        <w:t>、水胺硫磷</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水胺硫磷，胆碱酯酶抑制剂，具有触杀和胃毒作用。是一种广谱性有机磷类杀虫、杀螨剂。兼有杀卵作用。本品为高毒农药，禁止用于果、菜、烟、茶、中 草药植物上。中毒机制是抑制体内胆酯酶活性。中毒可出现多汗、流涎、瞳孔缩小、视物模糊、恶心、呕吐、腹痛、震颤、肌肉痉挛等,严重者可因呼吸中枢麻痹而死亡。食用食品一般不会导致水胺硫磷的急性中毒</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但长期食用水胺硫磷超标的食品，对人体健康也有一定影响。</w:t>
      </w:r>
    </w:p>
    <w:p>
      <w:pPr>
        <w:pStyle w:val="3"/>
        <w:rPr>
          <w:rFonts w:hint="eastAsia" w:eastAsia="黑体" w:cs="Times New Roman"/>
          <w:spacing w:val="-12"/>
          <w:sz w:val="32"/>
          <w:szCs w:val="32"/>
          <w:highlight w:val="none"/>
          <w:lang w:val="en-US" w:eastAsia="zh-CN"/>
        </w:rPr>
      </w:pPr>
      <w:r>
        <w:rPr>
          <w:rFonts w:hint="eastAsia" w:eastAsia="黑体" w:cs="Times New Roman"/>
          <w:spacing w:val="-12"/>
          <w:sz w:val="32"/>
          <w:szCs w:val="32"/>
          <w:highlight w:val="none"/>
          <w:lang w:val="en-US" w:eastAsia="zh-CN"/>
        </w:rPr>
        <w:t>八、灭蝇胺</w:t>
      </w:r>
    </w:p>
    <w:p>
      <w:pPr>
        <w:pStyle w:val="3"/>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灭蝇胺(cyromazine)，具有触杀功能的昆虫生长调节剂，干扰蜕皮和蛹化。用于植物时，具有内吸作用，在叶面上，表现出很强的输导效应;用于土壤中，能通过根吸收并向顶移动。通过饲养家禽或处理繁殖场所，防治鸡粪中的双翅目幼虫。也用于防治动物身上的苍蝇。叶面喷雾防治蔬菜(例如芹菜、番茄、生菜)、瓜类植物、马铃薯及观赏植物的潜叶虫。也用于喷淋或滴灌和防治蘑菇中的菇蝇(眼蚊、蚤蝇)。三嗪类杀虫剂，不易引起急性中毒。若中毒，症状为头痛、头昏、恶心、呕吐、多汗、无力、胸闷、视物模糊、纳差等。食用食品一般不会导致灭蝇胺的急性中毒，但长期食用灭蝇胺超标的食品，对人体健康也有一定影响。</w:t>
      </w:r>
    </w:p>
    <w:p>
      <w:pPr>
        <w:keepNext w:val="0"/>
        <w:keepLines w:val="0"/>
        <w:pageBreakBefore w:val="0"/>
        <w:widowControl w:val="0"/>
        <w:kinsoku/>
        <w:wordWrap/>
        <w:overflowPunct/>
        <w:topLinePunct w:val="0"/>
        <w:autoSpaceDE/>
        <w:autoSpaceDN/>
        <w:bidi w:val="0"/>
        <w:snapToGrid/>
        <w:spacing w:line="594" w:lineRule="exact"/>
        <w:ind w:firstLine="592" w:firstLineChars="200"/>
        <w:textAlignment w:val="auto"/>
        <w:rPr>
          <w:rFonts w:hint="eastAsia" w:eastAsia="黑体"/>
          <w:spacing w:val="-12"/>
          <w:sz w:val="32"/>
          <w:szCs w:val="32"/>
          <w:highlight w:val="none"/>
          <w:lang w:val="en-US" w:eastAsia="zh-CN"/>
        </w:rPr>
      </w:pPr>
      <w:r>
        <w:rPr>
          <w:rFonts w:hint="eastAsia" w:eastAsia="黑体"/>
          <w:spacing w:val="-12"/>
          <w:sz w:val="32"/>
          <w:szCs w:val="32"/>
          <w:highlight w:val="none"/>
          <w:lang w:val="en-US" w:eastAsia="zh-CN"/>
        </w:rPr>
        <w:t>九、噻虫胺</w:t>
      </w:r>
    </w:p>
    <w:p>
      <w:pPr>
        <w:pStyle w:val="3"/>
        <w:rPr>
          <w:rFonts w:hint="default" w:ascii="Times New Roman" w:hAnsi="Times New Roman" w:eastAsia="仿宋_GB2312" w:cs="Times New Roman"/>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噻虫胺是一种烟碱类杀虫剂，具有触杀、胃毒作用。急性毒性分级为微毒。急性中毒可出现恶心、呕吐、头痛、乏力、躁动、抽搐等。《食品安全国家标准 食品中农药最大残留限量》（GB 2763-2021）中规定，豆类蔬菜中噻虫胺的最大残留限量为0.01mg/kg。食用食品一般不会导致噻虫胺的急性中毒，但长期食用噻虫胺超标的食品，对人体健康也有一定影响。</w:t>
      </w:r>
    </w:p>
    <w:p>
      <w:pPr>
        <w:keepNext w:val="0"/>
        <w:keepLines w:val="0"/>
        <w:pageBreakBefore w:val="0"/>
        <w:widowControl w:val="0"/>
        <w:numPr>
          <w:ilvl w:val="0"/>
          <w:numId w:val="0"/>
        </w:numPr>
        <w:kinsoku/>
        <w:wordWrap/>
        <w:overflowPunct/>
        <w:topLinePunct w:val="0"/>
        <w:autoSpaceDE/>
        <w:autoSpaceDN/>
        <w:bidi w:val="0"/>
        <w:snapToGrid/>
        <w:spacing w:line="594" w:lineRule="exact"/>
        <w:ind w:firstLine="592" w:firstLineChars="200"/>
        <w:textAlignment w:val="auto"/>
        <w:rPr>
          <w:rFonts w:hint="eastAsia" w:eastAsia="黑体"/>
          <w:spacing w:val="-12"/>
          <w:sz w:val="32"/>
          <w:szCs w:val="32"/>
          <w:highlight w:val="none"/>
          <w:lang w:val="en-US" w:eastAsia="zh-CN"/>
        </w:rPr>
      </w:pPr>
      <w:r>
        <w:rPr>
          <w:rFonts w:hint="eastAsia" w:eastAsia="黑体"/>
          <w:spacing w:val="-12"/>
          <w:sz w:val="32"/>
          <w:szCs w:val="32"/>
          <w:highlight w:val="none"/>
          <w:lang w:val="en-US" w:eastAsia="zh-CN"/>
        </w:rPr>
        <w:t>十、多菌灵</w:t>
      </w:r>
    </w:p>
    <w:p>
      <w:pPr>
        <w:pStyle w:val="7"/>
        <w:keepNext w:val="0"/>
        <w:keepLines w:val="0"/>
        <w:pageBreakBefore w:val="0"/>
        <w:widowControl w:val="0"/>
        <w:numPr>
          <w:ilvl w:val="0"/>
          <w:numId w:val="0"/>
        </w:numPr>
        <w:kinsoku/>
        <w:wordWrap/>
        <w:overflowPunct/>
        <w:topLinePunct w:val="0"/>
        <w:autoSpaceDE/>
        <w:autoSpaceDN/>
        <w:bidi w:val="0"/>
        <w:snapToGrid w:val="0"/>
        <w:spacing w:line="600" w:lineRule="atLeast"/>
        <w:ind w:left="0" w:firstLine="640" w:firstLineChars="200"/>
        <w:textAlignment w:val="auto"/>
      </w:pPr>
      <w:r>
        <w:rPr>
          <w:rFonts w:hint="eastAsia" w:ascii="仿宋_GB2312" w:hAnsi="仿宋_GB2312" w:eastAsia="仿宋_GB2312" w:cs="仿宋_GB2312"/>
          <w:color w:val="000000"/>
          <w:kern w:val="2"/>
          <w:sz w:val="32"/>
          <w:szCs w:val="32"/>
          <w:highlight w:val="none"/>
          <w:lang w:val="en-US" w:eastAsia="zh-CN" w:bidi="ar-SA"/>
        </w:rPr>
        <w:t>多菌灵是一种广谱性杀菌剂，对多种作物由真菌引起的病害具有防治效果。急性毒性分级标准为实际无毒级。《食品安全国家标准 食品中农药最大残留限量》( GB 2763-2021）中规定，食荚豌豆中多菌灵的最大残留限量为0.02mg/kg。长期食用多菌灵超标的食品，对人体健康可能产生的危害尚无明确证据。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Y2NlYzEzYjdhODBjMGM3Yzc5YjI5MTAxZTMyNjUifQ=="/>
  </w:docVars>
  <w:rsids>
    <w:rsidRoot w:val="00000000"/>
    <w:rsid w:val="06396975"/>
    <w:rsid w:val="0AAA7904"/>
    <w:rsid w:val="0AE04E23"/>
    <w:rsid w:val="0B6658EB"/>
    <w:rsid w:val="0C5E2BBE"/>
    <w:rsid w:val="0CA57EC1"/>
    <w:rsid w:val="0D0550BA"/>
    <w:rsid w:val="10474A4A"/>
    <w:rsid w:val="112F7BA7"/>
    <w:rsid w:val="11720DDE"/>
    <w:rsid w:val="11903A8B"/>
    <w:rsid w:val="1431666C"/>
    <w:rsid w:val="15DA4103"/>
    <w:rsid w:val="16B63FAB"/>
    <w:rsid w:val="18C36DB0"/>
    <w:rsid w:val="1A1A0151"/>
    <w:rsid w:val="1EB91BE4"/>
    <w:rsid w:val="20067940"/>
    <w:rsid w:val="2531619F"/>
    <w:rsid w:val="29997109"/>
    <w:rsid w:val="2FA278C3"/>
    <w:rsid w:val="303C6F32"/>
    <w:rsid w:val="349D68A2"/>
    <w:rsid w:val="34A75EB9"/>
    <w:rsid w:val="34F54B2F"/>
    <w:rsid w:val="34F57EFE"/>
    <w:rsid w:val="354C1E81"/>
    <w:rsid w:val="35A61693"/>
    <w:rsid w:val="36A46495"/>
    <w:rsid w:val="385172F4"/>
    <w:rsid w:val="3B16561D"/>
    <w:rsid w:val="3CFD146C"/>
    <w:rsid w:val="3D687C90"/>
    <w:rsid w:val="404D090B"/>
    <w:rsid w:val="40BC74D7"/>
    <w:rsid w:val="41AB135D"/>
    <w:rsid w:val="457977CD"/>
    <w:rsid w:val="46B326E7"/>
    <w:rsid w:val="47995FDF"/>
    <w:rsid w:val="47BB166A"/>
    <w:rsid w:val="4B2F1EFC"/>
    <w:rsid w:val="4DF85EDD"/>
    <w:rsid w:val="52EB1D59"/>
    <w:rsid w:val="53AC4FFF"/>
    <w:rsid w:val="5517218A"/>
    <w:rsid w:val="5960550D"/>
    <w:rsid w:val="5C2D470D"/>
    <w:rsid w:val="5CE36A04"/>
    <w:rsid w:val="5FCC8037"/>
    <w:rsid w:val="5FFB58E8"/>
    <w:rsid w:val="63134CE8"/>
    <w:rsid w:val="63854B18"/>
    <w:rsid w:val="66B20BC5"/>
    <w:rsid w:val="68BB1663"/>
    <w:rsid w:val="6B911E62"/>
    <w:rsid w:val="6F965B68"/>
    <w:rsid w:val="78A22B7B"/>
    <w:rsid w:val="79354CED"/>
    <w:rsid w:val="7A4851A0"/>
    <w:rsid w:val="7AA810C7"/>
    <w:rsid w:val="7BCF5E06"/>
    <w:rsid w:val="7FEB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next w:val="1"/>
    <w:qFormat/>
    <w:uiPriority w:val="0"/>
    <w:pPr>
      <w:adjustRightInd w:val="0"/>
      <w:ind w:left="0" w:leftChars="0" w:firstLine="880" w:firstLineChars="200"/>
    </w:pPr>
    <w:rPr>
      <w:rFonts w:ascii="Calibri" w:hAnsi="Calibri" w:eastAsia="仿宋" w:cs="Times New Roman"/>
      <w:sz w:val="32"/>
    </w:rPr>
  </w:style>
  <w:style w:type="character" w:styleId="6">
    <w:name w:val="Hyperlink"/>
    <w:basedOn w:val="5"/>
    <w:qFormat/>
    <w:uiPriority w:val="0"/>
    <w:rPr>
      <w:color w:val="0000FF"/>
      <w:u w:val="single"/>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1968</Words>
  <Characters>2024</Characters>
  <Lines>0</Lines>
  <Paragraphs>0</Paragraphs>
  <TotalTime>0</TotalTime>
  <ScaleCrop>false</ScaleCrop>
  <LinksUpToDate>false</LinksUpToDate>
  <CharactersWithSpaces>2035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2024-06-05T15:24:00Z</dcterms:created>
  <dc:creator>Administrator</dc:creator>
  <cp:lastModifiedBy> </cp:lastModifiedBy>
  <dcterms:modified xsi:type="dcterms:W3CDTF">2024-07-09T09:47:07Z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B8E82B2840AA4DD3B536F75B17C39958_12</vt:lpwstr>
  </property>
</Properties>
</file>