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F6DFF47">
      <w:pPr>
        <w:spacing w:line="594" w:lineRule="exact"/>
        <w:jc w:val="left"/>
        <w:rPr>
          <w:rFonts w:hint="default" w:ascii="宋体" w:hAnsi="宋体" w:eastAsia="方正黑体_GBK" w:cs="宋体"/>
          <w:color w:val="auto"/>
          <w:spacing w:val="-11"/>
          <w:sz w:val="32"/>
          <w:szCs w:val="44"/>
          <w:lang w:val="en-US" w:eastAsia="zh-CN"/>
        </w:rPr>
      </w:pPr>
      <w:r>
        <w:rPr>
          <w:rFonts w:hint="eastAsia" w:ascii="宋体" w:hAnsi="宋体" w:eastAsia="方正黑体_GBK" w:cs="宋体"/>
          <w:color w:val="auto"/>
          <w:spacing w:val="-11"/>
          <w:sz w:val="32"/>
          <w:szCs w:val="44"/>
          <w:lang w:val="en-US" w:eastAsia="zh-CN"/>
        </w:rPr>
        <w:t>附件3</w:t>
      </w:r>
    </w:p>
    <w:p w14:paraId="45E917E8">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方正小标宋_GBK" w:cs="宋体"/>
          <w:color w:val="auto"/>
          <w:spacing w:val="-11"/>
          <w:sz w:val="44"/>
          <w:szCs w:val="44"/>
        </w:rPr>
      </w:pPr>
      <w:r>
        <w:rPr>
          <w:rFonts w:hint="eastAsia" w:ascii="宋体" w:hAnsi="宋体" w:eastAsia="方正小标宋_GBK" w:cs="宋体"/>
          <w:color w:val="auto"/>
          <w:spacing w:val="-11"/>
          <w:sz w:val="44"/>
          <w:szCs w:val="44"/>
        </w:rPr>
        <w:t>部分不合格检验项目小知识</w:t>
      </w:r>
    </w:p>
    <w:p w14:paraId="52E5ED10">
      <w:pPr>
        <w:pStyle w:val="2"/>
        <w:rPr>
          <w:rFonts w:ascii="宋体" w:hAnsi="宋体"/>
          <w:color w:val="auto"/>
        </w:rPr>
      </w:pPr>
    </w:p>
    <w:p w14:paraId="45FA8C7B">
      <w:pPr>
        <w:keepNext w:val="0"/>
        <w:keepLines w:val="0"/>
        <w:pageBreakBefore w:val="0"/>
        <w:widowControl w:val="0"/>
        <w:kinsoku/>
        <w:wordWrap/>
        <w:overflowPunct/>
        <w:topLinePunct w:val="0"/>
        <w:autoSpaceDE/>
        <w:autoSpaceDN/>
        <w:bidi w:val="0"/>
        <w:snapToGrid/>
        <w:spacing w:line="590" w:lineRule="exact"/>
        <w:ind w:firstLine="592" w:firstLineChars="200"/>
        <w:jc w:val="left"/>
        <w:textAlignment w:val="auto"/>
        <w:rPr>
          <w:rFonts w:ascii="宋体" w:hAnsi="宋体" w:eastAsia="黑体"/>
          <w:color w:val="auto"/>
          <w:spacing w:val="-12"/>
          <w:sz w:val="32"/>
          <w:szCs w:val="32"/>
          <w:highlight w:val="none"/>
        </w:rPr>
      </w:pPr>
      <w:r>
        <w:rPr>
          <w:rFonts w:hint="eastAsia" w:ascii="宋体" w:hAnsi="宋体" w:eastAsia="黑体"/>
          <w:color w:val="auto"/>
          <w:spacing w:val="-12"/>
          <w:sz w:val="32"/>
          <w:szCs w:val="32"/>
          <w:highlight w:val="none"/>
          <w:lang w:val="en-US" w:eastAsia="zh-CN"/>
        </w:rPr>
        <w:t>一</w:t>
      </w:r>
      <w:r>
        <w:rPr>
          <w:rFonts w:hint="eastAsia" w:ascii="宋体" w:hAnsi="宋体" w:eastAsia="黑体"/>
          <w:color w:val="auto"/>
          <w:spacing w:val="-12"/>
          <w:sz w:val="32"/>
          <w:szCs w:val="32"/>
          <w:highlight w:val="none"/>
        </w:rPr>
        <w:t>、苯醚甲环唑</w:t>
      </w:r>
    </w:p>
    <w:p w14:paraId="1C218305">
      <w:pPr>
        <w:pStyle w:val="2"/>
        <w:keepNext w:val="0"/>
        <w:keepLines w:val="0"/>
        <w:pageBreakBefore w:val="0"/>
        <w:widowControl w:val="0"/>
        <w:kinsoku/>
        <w:wordWrap/>
        <w:overflowPunct/>
        <w:topLinePunct w:val="0"/>
        <w:autoSpaceDE/>
        <w:autoSpaceDN/>
        <w:bidi w:val="0"/>
        <w:snapToGrid/>
        <w:spacing w:line="590" w:lineRule="exact"/>
        <w:textAlignment w:val="auto"/>
        <w:rPr>
          <w:rFonts w:hint="eastAsia" w:ascii="宋体" w:hAnsi="宋体" w:eastAsia="方正仿宋_GBK" w:cs="方正仿宋_GBK"/>
          <w:color w:val="auto"/>
          <w:kern w:val="2"/>
          <w:sz w:val="32"/>
          <w:szCs w:val="32"/>
          <w:highlight w:val="none"/>
          <w:lang w:val="en-US" w:eastAsia="zh-CN" w:bidi="ar-SA"/>
        </w:rPr>
      </w:pPr>
      <w:r>
        <w:rPr>
          <w:rFonts w:hint="eastAsia" w:ascii="宋体" w:hAnsi="宋体" w:eastAsia="方正仿宋_GBK" w:cs="方正仿宋_GBK"/>
          <w:color w:val="auto"/>
          <w:kern w:val="2"/>
          <w:sz w:val="32"/>
          <w:szCs w:val="32"/>
          <w:highlight w:val="none"/>
          <w:lang w:val="en-US" w:eastAsia="zh-CN" w:bidi="ar-SA"/>
        </w:rPr>
        <w:t>苯醚甲环唑是高效广谱杀菌剂，对蔬菜和瓜果等多种真菌性病害具有很好的防治作用。食用食品一般不会导致苯醚甲环唑的急性中毒，但长期食用苯醚甲环唑超标的食品，对人体健康也有一定影响《食品安全国家标准 食品中农药最大残留限量》（GB 2763—2021）规定，苯醚甲环唑在柑中的最大残留限量值为0.2mg/kg。沃柑中苯醚甲环唑超标的原因可能是水果种植户在生产过程中不考虑农药的半衰期，不按产品说明书规定随意或超剂量喷洒农药，以致于农药在水果中残留量超标。</w:t>
      </w:r>
    </w:p>
    <w:p w14:paraId="1DA3D73F">
      <w:pPr>
        <w:keepNext w:val="0"/>
        <w:keepLines w:val="0"/>
        <w:pageBreakBefore w:val="0"/>
        <w:widowControl w:val="0"/>
        <w:kinsoku/>
        <w:wordWrap/>
        <w:overflowPunct/>
        <w:topLinePunct w:val="0"/>
        <w:autoSpaceDE/>
        <w:autoSpaceDN/>
        <w:bidi w:val="0"/>
        <w:adjustRightInd/>
        <w:snapToGrid/>
        <w:spacing w:line="590" w:lineRule="exact"/>
        <w:ind w:firstLine="596" w:firstLineChars="200"/>
        <w:textAlignment w:val="auto"/>
        <w:rPr>
          <w:rFonts w:hint="eastAsia" w:ascii="宋体" w:hAnsi="宋体" w:eastAsia="方正黑体_GBK" w:cs="方正黑体_GBK"/>
          <w:color w:val="auto"/>
          <w:spacing w:val="-11"/>
          <w:sz w:val="32"/>
          <w:szCs w:val="32"/>
          <w:lang w:val="en-US" w:eastAsia="zh-CN"/>
        </w:rPr>
      </w:pPr>
      <w:r>
        <w:rPr>
          <w:rFonts w:hint="eastAsia" w:ascii="宋体" w:hAnsi="宋体" w:eastAsia="方正黑体_GBK" w:cs="方正黑体_GBK"/>
          <w:color w:val="auto"/>
          <w:spacing w:val="-11"/>
          <w:sz w:val="32"/>
          <w:szCs w:val="32"/>
          <w:lang w:val="en-US" w:eastAsia="zh-CN"/>
        </w:rPr>
        <w:t>二、</w:t>
      </w:r>
      <w:r>
        <w:rPr>
          <w:rFonts w:hint="eastAsia" w:ascii="宋体" w:hAnsi="宋体" w:eastAsia="黑体" w:cs="黑体"/>
          <w:color w:val="auto"/>
          <w:sz w:val="32"/>
          <w:szCs w:val="32"/>
        </w:rPr>
        <w:t>防腐剂混合使用时各自用量占其最大使用量的比例之和</w:t>
      </w:r>
    </w:p>
    <w:p w14:paraId="5A7D8171">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宋体" w:hAnsi="宋体" w:eastAsia="方正仿宋_GBK" w:cs="方正仿宋_GBK"/>
          <w:color w:val="auto"/>
          <w:kern w:val="2"/>
          <w:sz w:val="32"/>
          <w:szCs w:val="32"/>
          <w:highlight w:val="none"/>
          <w:lang w:val="en-US" w:eastAsia="zh-CN" w:bidi="ar-SA"/>
        </w:rPr>
      </w:pPr>
      <w:r>
        <w:rPr>
          <w:rFonts w:hint="eastAsia" w:ascii="宋体" w:hAnsi="宋体" w:eastAsia="方正仿宋_GBK" w:cs="方正仿宋_GBK"/>
          <w:color w:val="auto"/>
          <w:kern w:val="2"/>
          <w:sz w:val="32"/>
          <w:szCs w:val="32"/>
          <w:highlight w:val="none"/>
          <w:lang w:val="en-US" w:eastAsia="zh-CN" w:bidi="ar-SA"/>
        </w:rPr>
        <w:t>防腐剂是常见的食品添加剂，指天然或合成的化学成分，用于延缓或抑制由微生物引起的食品腐败变质。长期食用防腐剂超标的食品会对人体健康造成损害。《食品安全国家标准 食品添加剂使用标准》（GB 2760—2014）中规定，防腐剂在混合使用时各自用量占其最大使用量的比例之和不应超过1。防腐剂混合使用时各自用量占其最大使用量的比例之和检测值超标的原因，可能是生产企业在生产加工过程中未严格控制各防腐剂的用量造成的。</w:t>
      </w:r>
    </w:p>
    <w:p w14:paraId="26DC0819">
      <w:pPr>
        <w:keepNext w:val="0"/>
        <w:keepLines w:val="0"/>
        <w:pageBreakBefore w:val="0"/>
        <w:widowControl w:val="0"/>
        <w:kinsoku/>
        <w:wordWrap/>
        <w:overflowPunct/>
        <w:topLinePunct w:val="0"/>
        <w:autoSpaceDE/>
        <w:autoSpaceDN/>
        <w:bidi w:val="0"/>
        <w:snapToGrid/>
        <w:spacing w:line="590" w:lineRule="exact"/>
        <w:ind w:firstLine="640" w:firstLineChars="20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三</w:t>
      </w:r>
      <w:r>
        <w:rPr>
          <w:rFonts w:hint="eastAsia" w:ascii="黑体" w:hAnsi="黑体" w:eastAsia="黑体"/>
          <w:color w:val="auto"/>
          <w:sz w:val="32"/>
          <w:szCs w:val="32"/>
          <w:highlight w:val="none"/>
        </w:rPr>
        <w:t>、倍硫磷</w:t>
      </w:r>
    </w:p>
    <w:p w14:paraId="68D4842C">
      <w:pPr>
        <w:keepNext w:val="0"/>
        <w:keepLines w:val="0"/>
        <w:pageBreakBefore w:val="0"/>
        <w:widowControl w:val="0"/>
        <w:kinsoku/>
        <w:wordWrap/>
        <w:overflowPunct/>
        <w:topLinePunct w:val="0"/>
        <w:autoSpaceDE/>
        <w:autoSpaceDN/>
        <w:bidi w:val="0"/>
        <w:snapToGrid/>
        <w:spacing w:line="590" w:lineRule="exact"/>
        <w:ind w:firstLine="640" w:firstLineChars="200"/>
        <w:textAlignment w:val="auto"/>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 xml:space="preserve">倍硫磷是有机磷神经毒剂，对害虫具有触杀和胃毒作用，对蚜虫等有较好防效。少量的残留不会引起人体急性中毒，但长期食用倍硫磷超标的食品，对人体健康可能有一定影响。《食品安全国家标准 食品中农药最大残留限量》（GB </w:t>
      </w:r>
      <w:r>
        <w:rPr>
          <w:rFonts w:hint="eastAsia" w:ascii="宋体" w:hAnsi="宋体" w:eastAsia="方正仿宋_GBK" w:cs="方正仿宋_GBK"/>
          <w:color w:val="auto"/>
          <w:sz w:val="32"/>
          <w:szCs w:val="32"/>
          <w:highlight w:val="none"/>
          <w:lang w:eastAsia="zh-CN"/>
        </w:rPr>
        <w:t>2763—2021</w:t>
      </w:r>
      <w:r>
        <w:rPr>
          <w:rFonts w:hint="eastAsia" w:ascii="宋体" w:hAnsi="宋体" w:eastAsia="方正仿宋_GBK" w:cs="方正仿宋_GBK"/>
          <w:color w:val="auto"/>
          <w:sz w:val="32"/>
          <w:szCs w:val="32"/>
          <w:highlight w:val="none"/>
        </w:rPr>
        <w:t>）中规定，倍硫磷在茄果类蔬菜中的最大残留限量值为0.05mg/kg。倍硫磷残留量超标的原因，可能是为快速控制虫害，加大用药量或未遵守采摘间隔期规定，致使上市销售的产品中残留量超标。</w:t>
      </w:r>
    </w:p>
    <w:p w14:paraId="2510E180">
      <w:pPr>
        <w:keepNext w:val="0"/>
        <w:keepLines w:val="0"/>
        <w:pageBreakBefore w:val="0"/>
        <w:widowControl w:val="0"/>
        <w:kinsoku/>
        <w:wordWrap/>
        <w:overflowPunct/>
        <w:topLinePunct w:val="0"/>
        <w:autoSpaceDE/>
        <w:autoSpaceDN/>
        <w:bidi w:val="0"/>
        <w:snapToGrid/>
        <w:spacing w:line="590" w:lineRule="exact"/>
        <w:ind w:firstLine="592" w:firstLineChars="200"/>
        <w:jc w:val="left"/>
        <w:textAlignment w:val="auto"/>
        <w:rPr>
          <w:rFonts w:hint="eastAsia" w:eastAsia="黑体"/>
          <w:color w:val="auto"/>
          <w:spacing w:val="-12"/>
          <w:sz w:val="32"/>
          <w:szCs w:val="32"/>
          <w:highlight w:val="none"/>
          <w:lang w:val="en-US" w:eastAsia="zh-CN"/>
        </w:rPr>
      </w:pPr>
      <w:r>
        <w:rPr>
          <w:rFonts w:hint="eastAsia" w:eastAsia="黑体"/>
          <w:color w:val="auto"/>
          <w:spacing w:val="-12"/>
          <w:sz w:val="32"/>
          <w:szCs w:val="32"/>
          <w:highlight w:val="none"/>
          <w:lang w:val="en-US" w:eastAsia="zh-CN"/>
        </w:rPr>
        <w:t>四、吡唑醚菌酯</w:t>
      </w:r>
    </w:p>
    <w:p w14:paraId="1AB91A7B">
      <w:pPr>
        <w:pStyle w:val="2"/>
        <w:keepNext w:val="0"/>
        <w:keepLines w:val="0"/>
        <w:pageBreakBefore w:val="0"/>
        <w:widowControl w:val="0"/>
        <w:kinsoku/>
        <w:wordWrap/>
        <w:overflowPunct/>
        <w:topLinePunct w:val="0"/>
        <w:autoSpaceDE/>
        <w:autoSpaceDN/>
        <w:bidi w:val="0"/>
        <w:snapToGrid/>
        <w:spacing w:line="590" w:lineRule="exact"/>
        <w:textAlignment w:val="auto"/>
        <w:rPr>
          <w:rFonts w:hint="eastAsia" w:ascii="宋体" w:hAnsi="宋体" w:eastAsia="方正仿宋_GBK" w:cs="方正仿宋_GBK"/>
          <w:color w:val="auto"/>
          <w:kern w:val="2"/>
          <w:sz w:val="32"/>
          <w:szCs w:val="32"/>
          <w:highlight w:val="none"/>
          <w:lang w:val="en-US" w:eastAsia="zh-CN" w:bidi="ar-SA"/>
        </w:rPr>
      </w:pPr>
      <w:r>
        <w:rPr>
          <w:rFonts w:hint="eastAsia" w:ascii="宋体" w:hAnsi="宋体" w:eastAsia="方正仿宋_GBK" w:cs="方正仿宋_GBK"/>
          <w:color w:val="auto"/>
          <w:kern w:val="2"/>
          <w:sz w:val="32"/>
          <w:szCs w:val="32"/>
          <w:highlight w:val="none"/>
          <w:lang w:val="en-US" w:eastAsia="zh-CN" w:bidi="ar-SA"/>
        </w:rPr>
        <w:t>吡唑醚菌酯是具有保护、治疗和传导作用的杀菌剂。急性毒性分级为微毒级。对皮肤、眼睛和呼吸道等有刺激作用，无人体全身性中毒报道。食用食品一般不会导致吡唑醚菌酯的急性中毒，但长期食用吡唑醚菌酯超标的食品，对人体健康也有一定影响。《食品安全国家标准 食品中农药最大残留限量》（GB 2763—2021）中规定，吡唑醚菌酯在芒果中的最大残留限量为0.05mg/kg。吡唑醚菌酯残留超标的原因可能是农产品种植者为加强防病效果超量使用农药，也可能是种植户未严格按照农药安全间隔期，提前采收农作物。</w:t>
      </w:r>
      <w:bookmarkStart w:id="0" w:name="_GoBack"/>
      <w:bookmarkEnd w:id="0"/>
    </w:p>
    <w:p w14:paraId="122C17E6">
      <w:pPr>
        <w:spacing w:line="594" w:lineRule="exact"/>
        <w:ind w:firstLine="420" w:firstLineChars="200"/>
        <w:jc w:val="left"/>
        <w:rPr>
          <w:rFonts w:hint="eastAsia" w:ascii="宋体" w:hAnsi="宋体"/>
          <w:color w:val="auto"/>
          <w:lang w:val="en-US" w:eastAsia="zh-CN"/>
        </w:rPr>
      </w:pPr>
    </w:p>
    <w:sectPr>
      <w:footerReference r:id="rId3" w:type="default"/>
      <w:footerReference r:id="rId4" w:type="even"/>
      <w:pgSz w:w="11906" w:h="16838"/>
      <w:pgMar w:top="2098" w:right="1417"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991B883-F8B4-4534-89FD-984F3C88E96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embedRegular r:id="rId2" w:fontKey="{9E22A1C8-B0F1-4419-9F98-CD97690ABE28}"/>
  </w:font>
  <w:font w:name="方正小标宋_GBK">
    <w:panose1 w:val="03000509000000000000"/>
    <w:charset w:val="86"/>
    <w:family w:val="auto"/>
    <w:pitch w:val="default"/>
    <w:sig w:usb0="00000001" w:usb1="080E0000" w:usb2="00000000" w:usb3="00000000" w:csb0="00040000" w:csb1="00000000"/>
    <w:embedRegular r:id="rId3" w:fontKey="{013DA146-6629-4CE2-8F4E-421B54D769D9}"/>
  </w:font>
  <w:font w:name="方正仿宋_GBK">
    <w:panose1 w:val="03000509000000000000"/>
    <w:charset w:val="86"/>
    <w:family w:val="auto"/>
    <w:pitch w:val="default"/>
    <w:sig w:usb0="00000001" w:usb1="080E0000" w:usb2="00000000" w:usb3="00000000" w:csb0="00040000" w:csb1="00000000"/>
    <w:embedRegular r:id="rId4" w:fontKey="{40D19F71-2390-4C3B-9547-6ABE8CF1FA2C}"/>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460024"/>
      <w:docPartObj>
        <w:docPartGallery w:val="autotext"/>
      </w:docPartObj>
    </w:sdtPr>
    <w:sdtContent>
      <w:p w14:paraId="0102FD67">
        <w:pPr>
          <w:pStyle w:val="6"/>
          <w:jc w:val="center"/>
        </w:pPr>
        <w:r>
          <w:fldChar w:fldCharType="begin"/>
        </w:r>
        <w:r>
          <w:instrText xml:space="preserve">PAGE   \* MERGEFORMAT</w:instrText>
        </w:r>
        <w:r>
          <w:fldChar w:fldCharType="separate"/>
        </w:r>
        <w:r>
          <w:rPr>
            <w:lang w:val="zh-CN"/>
          </w:rPr>
          <w:t>4</w:t>
        </w:r>
        <w:r>
          <w:fldChar w:fldCharType="end"/>
        </w:r>
      </w:p>
    </w:sdtContent>
  </w:sdt>
  <w:p w14:paraId="12FA7481">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FFEF79E">
    <w:pPr>
      <w:pStyle w:val="6"/>
    </w:pPr>
  </w:p>
  <w:p w14:paraId="2836AA12">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1N2JlNTk5N2I1MjE1ZDc4Y2MwMTI0OWVmYzZkOGMifQ=="/>
  </w:docVars>
  <w:rsids>
    <w:rsidRoot w:val="15B85137"/>
    <w:rsid w:val="000119D5"/>
    <w:rsid w:val="00013E30"/>
    <w:rsid w:val="000276F3"/>
    <w:rsid w:val="00045657"/>
    <w:rsid w:val="00063DA7"/>
    <w:rsid w:val="000854E2"/>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1F1D2C"/>
    <w:rsid w:val="00205007"/>
    <w:rsid w:val="00217ABC"/>
    <w:rsid w:val="00256527"/>
    <w:rsid w:val="00263FF9"/>
    <w:rsid w:val="00277D08"/>
    <w:rsid w:val="002805F4"/>
    <w:rsid w:val="002973CA"/>
    <w:rsid w:val="002B1D5C"/>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41843"/>
    <w:rsid w:val="00551758"/>
    <w:rsid w:val="00565D70"/>
    <w:rsid w:val="00576235"/>
    <w:rsid w:val="0057719D"/>
    <w:rsid w:val="00580AA7"/>
    <w:rsid w:val="005A6A35"/>
    <w:rsid w:val="005A758A"/>
    <w:rsid w:val="005C0139"/>
    <w:rsid w:val="005C2A8D"/>
    <w:rsid w:val="005C692C"/>
    <w:rsid w:val="005C76FA"/>
    <w:rsid w:val="005D5A75"/>
    <w:rsid w:val="005E7727"/>
    <w:rsid w:val="00603050"/>
    <w:rsid w:val="00613B2D"/>
    <w:rsid w:val="006221A8"/>
    <w:rsid w:val="00632D84"/>
    <w:rsid w:val="00643647"/>
    <w:rsid w:val="006B4C83"/>
    <w:rsid w:val="006E25C7"/>
    <w:rsid w:val="006E3529"/>
    <w:rsid w:val="006E385A"/>
    <w:rsid w:val="006F10E4"/>
    <w:rsid w:val="007114C3"/>
    <w:rsid w:val="00716E8E"/>
    <w:rsid w:val="007323B8"/>
    <w:rsid w:val="00741E8B"/>
    <w:rsid w:val="00742D85"/>
    <w:rsid w:val="0076297A"/>
    <w:rsid w:val="00766A6B"/>
    <w:rsid w:val="00771D1B"/>
    <w:rsid w:val="00786192"/>
    <w:rsid w:val="0079128E"/>
    <w:rsid w:val="007B44DC"/>
    <w:rsid w:val="007C2539"/>
    <w:rsid w:val="007C55DC"/>
    <w:rsid w:val="007D761E"/>
    <w:rsid w:val="00800E6D"/>
    <w:rsid w:val="00806AD3"/>
    <w:rsid w:val="00821EE7"/>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73B"/>
    <w:rsid w:val="00960313"/>
    <w:rsid w:val="00965F07"/>
    <w:rsid w:val="00970BC3"/>
    <w:rsid w:val="00971CE9"/>
    <w:rsid w:val="00974858"/>
    <w:rsid w:val="00974E0A"/>
    <w:rsid w:val="009B222A"/>
    <w:rsid w:val="009B4783"/>
    <w:rsid w:val="009C1BB5"/>
    <w:rsid w:val="009C3466"/>
    <w:rsid w:val="009D1B09"/>
    <w:rsid w:val="009E7BB2"/>
    <w:rsid w:val="00A010B9"/>
    <w:rsid w:val="00A0353B"/>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06AE3"/>
    <w:rsid w:val="00B11ADD"/>
    <w:rsid w:val="00B9140D"/>
    <w:rsid w:val="00B935D9"/>
    <w:rsid w:val="00BA3536"/>
    <w:rsid w:val="00BB0DB0"/>
    <w:rsid w:val="00BC6D13"/>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B1102"/>
    <w:rsid w:val="00EC0211"/>
    <w:rsid w:val="00ED0256"/>
    <w:rsid w:val="00ED0DA7"/>
    <w:rsid w:val="00ED21A0"/>
    <w:rsid w:val="00EF6B02"/>
    <w:rsid w:val="00F05932"/>
    <w:rsid w:val="00F075AE"/>
    <w:rsid w:val="00F1347C"/>
    <w:rsid w:val="00F75612"/>
    <w:rsid w:val="00F80202"/>
    <w:rsid w:val="00F915D8"/>
    <w:rsid w:val="00FA490E"/>
    <w:rsid w:val="00FA66BA"/>
    <w:rsid w:val="00FC3D20"/>
    <w:rsid w:val="00FF2E4D"/>
    <w:rsid w:val="01657A8B"/>
    <w:rsid w:val="027F6AB2"/>
    <w:rsid w:val="02DF598E"/>
    <w:rsid w:val="02E57613"/>
    <w:rsid w:val="045471C4"/>
    <w:rsid w:val="04553F6E"/>
    <w:rsid w:val="04C76D91"/>
    <w:rsid w:val="04D4291E"/>
    <w:rsid w:val="04EB64FF"/>
    <w:rsid w:val="05164C23"/>
    <w:rsid w:val="07DB4775"/>
    <w:rsid w:val="080F2686"/>
    <w:rsid w:val="08B60FCD"/>
    <w:rsid w:val="08F07F5B"/>
    <w:rsid w:val="09C57F9D"/>
    <w:rsid w:val="0AAD14F9"/>
    <w:rsid w:val="0AE1251E"/>
    <w:rsid w:val="0BAB600D"/>
    <w:rsid w:val="0BAF665A"/>
    <w:rsid w:val="0C4E3D58"/>
    <w:rsid w:val="0C7E7DDA"/>
    <w:rsid w:val="0D336E17"/>
    <w:rsid w:val="0D870F11"/>
    <w:rsid w:val="0DF06AB6"/>
    <w:rsid w:val="0E4A6D82"/>
    <w:rsid w:val="0E611762"/>
    <w:rsid w:val="0EAF6971"/>
    <w:rsid w:val="0EF669E1"/>
    <w:rsid w:val="0FED6590"/>
    <w:rsid w:val="101E7775"/>
    <w:rsid w:val="10466C63"/>
    <w:rsid w:val="10DC1574"/>
    <w:rsid w:val="1198698C"/>
    <w:rsid w:val="11AA7966"/>
    <w:rsid w:val="12096398"/>
    <w:rsid w:val="13622204"/>
    <w:rsid w:val="13866C43"/>
    <w:rsid w:val="13A32481"/>
    <w:rsid w:val="141679B1"/>
    <w:rsid w:val="144813FA"/>
    <w:rsid w:val="150258D5"/>
    <w:rsid w:val="15205ED3"/>
    <w:rsid w:val="159E2C66"/>
    <w:rsid w:val="15B85137"/>
    <w:rsid w:val="16041BA6"/>
    <w:rsid w:val="16EF3DAF"/>
    <w:rsid w:val="175005C5"/>
    <w:rsid w:val="183A01E9"/>
    <w:rsid w:val="187854F2"/>
    <w:rsid w:val="18C66F88"/>
    <w:rsid w:val="18E16CEE"/>
    <w:rsid w:val="1B986887"/>
    <w:rsid w:val="1D231C99"/>
    <w:rsid w:val="1D2A530E"/>
    <w:rsid w:val="1DFF4B09"/>
    <w:rsid w:val="1E8219AC"/>
    <w:rsid w:val="1F0653D6"/>
    <w:rsid w:val="1F6B795B"/>
    <w:rsid w:val="1FF00B97"/>
    <w:rsid w:val="200535FF"/>
    <w:rsid w:val="20485A70"/>
    <w:rsid w:val="222114DC"/>
    <w:rsid w:val="242404B2"/>
    <w:rsid w:val="243C124F"/>
    <w:rsid w:val="26647BE9"/>
    <w:rsid w:val="26F47978"/>
    <w:rsid w:val="27633C24"/>
    <w:rsid w:val="29283150"/>
    <w:rsid w:val="29C56BF1"/>
    <w:rsid w:val="2AC16902"/>
    <w:rsid w:val="2B626CC5"/>
    <w:rsid w:val="2BDB0938"/>
    <w:rsid w:val="2C9024A3"/>
    <w:rsid w:val="2CC55E02"/>
    <w:rsid w:val="2DE7759F"/>
    <w:rsid w:val="2EAF23A5"/>
    <w:rsid w:val="2F0D0E1E"/>
    <w:rsid w:val="2FB35B1D"/>
    <w:rsid w:val="311F0C14"/>
    <w:rsid w:val="31A57A34"/>
    <w:rsid w:val="31BB1005"/>
    <w:rsid w:val="32004C6A"/>
    <w:rsid w:val="32075FF9"/>
    <w:rsid w:val="32135C95"/>
    <w:rsid w:val="32195D2C"/>
    <w:rsid w:val="329D62E1"/>
    <w:rsid w:val="34220DB4"/>
    <w:rsid w:val="34357ABA"/>
    <w:rsid w:val="345745AF"/>
    <w:rsid w:val="3515264E"/>
    <w:rsid w:val="353A0493"/>
    <w:rsid w:val="3569521C"/>
    <w:rsid w:val="361B61C7"/>
    <w:rsid w:val="36AD3D17"/>
    <w:rsid w:val="378206DC"/>
    <w:rsid w:val="37DE5A4E"/>
    <w:rsid w:val="390E2601"/>
    <w:rsid w:val="39124ABE"/>
    <w:rsid w:val="3A086DB2"/>
    <w:rsid w:val="3A512225"/>
    <w:rsid w:val="3A8D72B7"/>
    <w:rsid w:val="3ACA22B9"/>
    <w:rsid w:val="3B797920"/>
    <w:rsid w:val="3BF375EE"/>
    <w:rsid w:val="3CEE66E0"/>
    <w:rsid w:val="3D2F4655"/>
    <w:rsid w:val="3D8A5562"/>
    <w:rsid w:val="3D9B7F3D"/>
    <w:rsid w:val="3DFE3476"/>
    <w:rsid w:val="3E587BDC"/>
    <w:rsid w:val="3ECA4CD4"/>
    <w:rsid w:val="3F2D2006"/>
    <w:rsid w:val="3F6251B6"/>
    <w:rsid w:val="3FD17C46"/>
    <w:rsid w:val="40475A64"/>
    <w:rsid w:val="42E23FC2"/>
    <w:rsid w:val="43FB64F2"/>
    <w:rsid w:val="44586DC0"/>
    <w:rsid w:val="458F65D9"/>
    <w:rsid w:val="46BD6F7D"/>
    <w:rsid w:val="46F05C86"/>
    <w:rsid w:val="475278BE"/>
    <w:rsid w:val="477517FF"/>
    <w:rsid w:val="479E0D55"/>
    <w:rsid w:val="47A143A2"/>
    <w:rsid w:val="48805DD2"/>
    <w:rsid w:val="492963C6"/>
    <w:rsid w:val="492E435B"/>
    <w:rsid w:val="49D942C7"/>
    <w:rsid w:val="4A0D2464"/>
    <w:rsid w:val="4A486C4A"/>
    <w:rsid w:val="4AFE195C"/>
    <w:rsid w:val="4B304B48"/>
    <w:rsid w:val="4B5562A0"/>
    <w:rsid w:val="4BC323F1"/>
    <w:rsid w:val="4BFE1DC3"/>
    <w:rsid w:val="4BFF5B3B"/>
    <w:rsid w:val="4C9B5A25"/>
    <w:rsid w:val="4D354A0D"/>
    <w:rsid w:val="4DB7491F"/>
    <w:rsid w:val="4DC4703C"/>
    <w:rsid w:val="4E0C414E"/>
    <w:rsid w:val="4E755725"/>
    <w:rsid w:val="4ECF7A46"/>
    <w:rsid w:val="4EE57FD2"/>
    <w:rsid w:val="4EE87D43"/>
    <w:rsid w:val="4FAB400F"/>
    <w:rsid w:val="4FC4089B"/>
    <w:rsid w:val="503009B9"/>
    <w:rsid w:val="50804728"/>
    <w:rsid w:val="513203F0"/>
    <w:rsid w:val="51632454"/>
    <w:rsid w:val="51853855"/>
    <w:rsid w:val="51B01DB1"/>
    <w:rsid w:val="52732B71"/>
    <w:rsid w:val="52CB6777"/>
    <w:rsid w:val="53250C8E"/>
    <w:rsid w:val="532E3A5B"/>
    <w:rsid w:val="5429718F"/>
    <w:rsid w:val="550769B0"/>
    <w:rsid w:val="56102E1E"/>
    <w:rsid w:val="56124994"/>
    <w:rsid w:val="56743629"/>
    <w:rsid w:val="56D800A3"/>
    <w:rsid w:val="570861EB"/>
    <w:rsid w:val="57DD4F82"/>
    <w:rsid w:val="5A947624"/>
    <w:rsid w:val="5B0203A0"/>
    <w:rsid w:val="5B2353A2"/>
    <w:rsid w:val="5CA4072E"/>
    <w:rsid w:val="5D1D4073"/>
    <w:rsid w:val="5D324D77"/>
    <w:rsid w:val="5EAB5261"/>
    <w:rsid w:val="5F0E41AF"/>
    <w:rsid w:val="5F192639"/>
    <w:rsid w:val="60077D2E"/>
    <w:rsid w:val="603617D7"/>
    <w:rsid w:val="6074044E"/>
    <w:rsid w:val="60A95113"/>
    <w:rsid w:val="60B151FE"/>
    <w:rsid w:val="60FD15F7"/>
    <w:rsid w:val="615F4C5A"/>
    <w:rsid w:val="618C17C7"/>
    <w:rsid w:val="62E21FE6"/>
    <w:rsid w:val="630270EC"/>
    <w:rsid w:val="6341378F"/>
    <w:rsid w:val="63A75247"/>
    <w:rsid w:val="63E11CB1"/>
    <w:rsid w:val="64EA43B6"/>
    <w:rsid w:val="64FE2942"/>
    <w:rsid w:val="668C5268"/>
    <w:rsid w:val="66CB4B3F"/>
    <w:rsid w:val="67AB0CED"/>
    <w:rsid w:val="67D45B94"/>
    <w:rsid w:val="67E36D35"/>
    <w:rsid w:val="683A47A8"/>
    <w:rsid w:val="68676CB7"/>
    <w:rsid w:val="68955405"/>
    <w:rsid w:val="6931048F"/>
    <w:rsid w:val="6A00000E"/>
    <w:rsid w:val="6A49294B"/>
    <w:rsid w:val="6A52263C"/>
    <w:rsid w:val="6A592AD1"/>
    <w:rsid w:val="6A7A5576"/>
    <w:rsid w:val="6B316880"/>
    <w:rsid w:val="6B4849B1"/>
    <w:rsid w:val="6BE44B4A"/>
    <w:rsid w:val="6C2E1E33"/>
    <w:rsid w:val="6CB26C99"/>
    <w:rsid w:val="6D1B75AA"/>
    <w:rsid w:val="6D3C22F3"/>
    <w:rsid w:val="6D535020"/>
    <w:rsid w:val="6E0005AE"/>
    <w:rsid w:val="6E69475C"/>
    <w:rsid w:val="6ED3511D"/>
    <w:rsid w:val="6FB17851"/>
    <w:rsid w:val="6FB849AC"/>
    <w:rsid w:val="6FDE45BD"/>
    <w:rsid w:val="70700E45"/>
    <w:rsid w:val="709C5D3C"/>
    <w:rsid w:val="70A278C4"/>
    <w:rsid w:val="70DC2E9E"/>
    <w:rsid w:val="714D5A47"/>
    <w:rsid w:val="726E2F4F"/>
    <w:rsid w:val="727857FE"/>
    <w:rsid w:val="72AC3A77"/>
    <w:rsid w:val="73B76B77"/>
    <w:rsid w:val="742C4E6F"/>
    <w:rsid w:val="742E1372"/>
    <w:rsid w:val="74A44FDB"/>
    <w:rsid w:val="75343153"/>
    <w:rsid w:val="75856B41"/>
    <w:rsid w:val="76285DB6"/>
    <w:rsid w:val="77661EB3"/>
    <w:rsid w:val="77777B42"/>
    <w:rsid w:val="77FC0FFD"/>
    <w:rsid w:val="795D5ACB"/>
    <w:rsid w:val="7A9C0875"/>
    <w:rsid w:val="7AE845AB"/>
    <w:rsid w:val="7C641F9C"/>
    <w:rsid w:val="7CBB5EAD"/>
    <w:rsid w:val="7CCD4AFB"/>
    <w:rsid w:val="7D2423F5"/>
    <w:rsid w:val="7D513B99"/>
    <w:rsid w:val="7D9B2509"/>
    <w:rsid w:val="7E6B032E"/>
    <w:rsid w:val="7E764C7A"/>
    <w:rsid w:val="7F5B1F50"/>
    <w:rsid w:val="7F8A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qFormat/>
    <w:uiPriority w:val="0"/>
    <w:pPr>
      <w:spacing w:after="120"/>
      <w:ind w:left="420" w:leftChars="200"/>
    </w:pPr>
  </w:style>
  <w:style w:type="paragraph" w:styleId="4">
    <w:name w:val="annotation text"/>
    <w:basedOn w:val="1"/>
    <w:link w:val="21"/>
    <w:autoRedefine/>
    <w:qFormat/>
    <w:uiPriority w:val="0"/>
    <w:pPr>
      <w:jc w:val="left"/>
    </w:pPr>
  </w:style>
  <w:style w:type="paragraph" w:styleId="5">
    <w:name w:val="Balloon Text"/>
    <w:basedOn w:val="1"/>
    <w:link w:val="16"/>
    <w:autoRedefine/>
    <w:qFormat/>
    <w:uiPriority w:val="0"/>
    <w:rPr>
      <w:sz w:val="18"/>
      <w:szCs w:val="18"/>
    </w:rPr>
  </w:style>
  <w:style w:type="paragraph" w:styleId="6">
    <w:name w:val="footer"/>
    <w:basedOn w:val="1"/>
    <w:link w:val="19"/>
    <w:autoRedefine/>
    <w:qFormat/>
    <w:uiPriority w:val="99"/>
    <w:pPr>
      <w:tabs>
        <w:tab w:val="center" w:pos="4153"/>
        <w:tab w:val="right" w:pos="8306"/>
      </w:tabs>
      <w:snapToGrid w:val="0"/>
      <w:jc w:val="left"/>
    </w:pPr>
    <w:rPr>
      <w:sz w:val="18"/>
      <w:szCs w:val="18"/>
    </w:rPr>
  </w:style>
  <w:style w:type="paragraph" w:styleId="7">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autoRedefine/>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9">
    <w:name w:val="Normal (Web)"/>
    <w:basedOn w:val="1"/>
    <w:autoRedefine/>
    <w:unhideWhenUsed/>
    <w:qFormat/>
    <w:uiPriority w:val="99"/>
    <w:pPr>
      <w:spacing w:beforeAutospacing="1" w:afterAutospacing="1"/>
      <w:jc w:val="left"/>
    </w:pPr>
    <w:rPr>
      <w:rFonts w:asciiTheme="minorHAnsi" w:hAnsiTheme="minorHAnsi" w:eastAsiaTheme="minorEastAsia"/>
      <w:kern w:val="0"/>
      <w:sz w:val="24"/>
      <w:szCs w:val="22"/>
    </w:rPr>
  </w:style>
  <w:style w:type="paragraph" w:styleId="10">
    <w:name w:val="annotation subject"/>
    <w:basedOn w:val="4"/>
    <w:next w:val="4"/>
    <w:link w:val="22"/>
    <w:autoRedefine/>
    <w:qFormat/>
    <w:uiPriority w:val="0"/>
    <w:rPr>
      <w:b/>
      <w:bCs/>
    </w:rPr>
  </w:style>
  <w:style w:type="character" w:styleId="13">
    <w:name w:val="Strong"/>
    <w:basedOn w:val="12"/>
    <w:autoRedefine/>
    <w:qFormat/>
    <w:uiPriority w:val="0"/>
    <w:rPr>
      <w:b/>
    </w:rPr>
  </w:style>
  <w:style w:type="character" w:styleId="14">
    <w:name w:val="annotation reference"/>
    <w:basedOn w:val="12"/>
    <w:autoRedefine/>
    <w:qFormat/>
    <w:uiPriority w:val="0"/>
    <w:rPr>
      <w:sz w:val="21"/>
      <w:szCs w:val="21"/>
    </w:rPr>
  </w:style>
  <w:style w:type="paragraph" w:customStyle="1" w:styleId="15">
    <w:name w:val="列出段落2"/>
    <w:basedOn w:val="1"/>
    <w:autoRedefine/>
    <w:qFormat/>
    <w:uiPriority w:val="34"/>
    <w:pPr>
      <w:ind w:firstLine="420" w:firstLineChars="200"/>
    </w:pPr>
  </w:style>
  <w:style w:type="character" w:customStyle="1" w:styleId="16">
    <w:name w:val="批注框文本 字符"/>
    <w:basedOn w:val="12"/>
    <w:link w:val="5"/>
    <w:autoRedefine/>
    <w:qFormat/>
    <w:uiPriority w:val="0"/>
    <w:rPr>
      <w:rFonts w:ascii="Calibri" w:hAnsi="Calibri" w:eastAsia="宋体" w:cs="Times New Roman"/>
      <w:kern w:val="2"/>
      <w:sz w:val="18"/>
      <w:szCs w:val="18"/>
    </w:rPr>
  </w:style>
  <w:style w:type="paragraph" w:styleId="17">
    <w:name w:val="List Paragraph"/>
    <w:basedOn w:val="1"/>
    <w:autoRedefine/>
    <w:qFormat/>
    <w:uiPriority w:val="34"/>
    <w:pPr>
      <w:ind w:firstLine="420" w:firstLineChars="200"/>
    </w:pPr>
    <w:rPr>
      <w:szCs w:val="22"/>
    </w:rPr>
  </w:style>
  <w:style w:type="character" w:customStyle="1" w:styleId="18">
    <w:name w:val="页眉 字符"/>
    <w:basedOn w:val="12"/>
    <w:link w:val="7"/>
    <w:autoRedefine/>
    <w:qFormat/>
    <w:uiPriority w:val="0"/>
    <w:rPr>
      <w:rFonts w:ascii="Calibri" w:hAnsi="Calibri" w:eastAsia="宋体" w:cs="Times New Roman"/>
      <w:kern w:val="2"/>
      <w:sz w:val="18"/>
      <w:szCs w:val="18"/>
    </w:rPr>
  </w:style>
  <w:style w:type="character" w:customStyle="1" w:styleId="19">
    <w:name w:val="页脚 字符"/>
    <w:basedOn w:val="12"/>
    <w:link w:val="6"/>
    <w:autoRedefine/>
    <w:qFormat/>
    <w:uiPriority w:val="99"/>
    <w:rPr>
      <w:rFonts w:ascii="Calibri" w:hAnsi="Calibri" w:eastAsia="宋体" w:cs="Times New Roman"/>
      <w:kern w:val="2"/>
      <w:sz w:val="18"/>
      <w:szCs w:val="18"/>
    </w:rPr>
  </w:style>
  <w:style w:type="character" w:customStyle="1" w:styleId="20">
    <w:name w:val="副标题 字符"/>
    <w:basedOn w:val="12"/>
    <w:link w:val="8"/>
    <w:autoRedefine/>
    <w:qFormat/>
    <w:uiPriority w:val="0"/>
    <w:rPr>
      <w:rFonts w:ascii="Times New Roman" w:hAnsi="Times New Roman" w:eastAsia="黑体"/>
      <w:bCs/>
      <w:kern w:val="28"/>
      <w:sz w:val="32"/>
      <w:szCs w:val="32"/>
    </w:rPr>
  </w:style>
  <w:style w:type="character" w:customStyle="1" w:styleId="21">
    <w:name w:val="批注文字 字符"/>
    <w:basedOn w:val="12"/>
    <w:link w:val="4"/>
    <w:autoRedefine/>
    <w:qFormat/>
    <w:uiPriority w:val="0"/>
    <w:rPr>
      <w:rFonts w:ascii="Calibri" w:hAnsi="Calibri" w:eastAsia="宋体" w:cs="Times New Roman"/>
      <w:kern w:val="2"/>
      <w:sz w:val="21"/>
      <w:szCs w:val="24"/>
    </w:rPr>
  </w:style>
  <w:style w:type="character" w:customStyle="1" w:styleId="22">
    <w:name w:val="批注主题 字符"/>
    <w:basedOn w:val="21"/>
    <w:link w:val="10"/>
    <w:autoRedefine/>
    <w:qFormat/>
    <w:uiPriority w:val="0"/>
    <w:rPr>
      <w:rFonts w:ascii="Calibri" w:hAnsi="Calibri" w:eastAsia="宋体" w:cs="Times New Roman"/>
      <w:b/>
      <w:bCs/>
      <w:kern w:val="2"/>
      <w:sz w:val="21"/>
      <w:szCs w:val="24"/>
    </w:rPr>
  </w:style>
  <w:style w:type="paragraph" w:customStyle="1" w:styleId="23">
    <w:name w:val="列出段落1"/>
    <w:basedOn w:val="1"/>
    <w:autoRedefine/>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870</Words>
  <Characters>921</Characters>
  <Lines>16</Lines>
  <Paragraphs>4</Paragraphs>
  <TotalTime>2</TotalTime>
  <ScaleCrop>false</ScaleCrop>
  <LinksUpToDate>false</LinksUpToDate>
  <CharactersWithSpaces>929</CharactersWithSpaces>
  <Application>WPS Office_12.1.0.17827_F1E327BC-269C-435d-A152-05C5408002CA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Administrator</cp:lastModifiedBy>
  <dcterms:modified xsi:type="dcterms:W3CDTF">2024-07-31T01:47:52Z</dcterms:modified>
  <dc:title>附件1</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2052-12.1.0.17827</vt:lpwstr>
  </property>
  <property fmtid="{D5CDD505-2E9C-101B-9397-08002B2CF9AE}" pid="3" name="ICV">
    <vt:lpwstr>665DFCFFE0C14853875C9B62468006AB</vt:lpwstr>
  </property>
</Properties>
</file>