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96B81F1">
      <w:pPr>
        <w:pStyle w:val="4"/>
        <w:rPr>
          <w:rFonts w:ascii="Calibri" w:hAnsi="Calibri" w:eastAsia="仿宋"/>
          <w:kern w:val="0"/>
          <w:szCs w:val="32"/>
        </w:rPr>
      </w:pPr>
      <w:r>
        <w:rPr>
          <w:rFonts w:ascii="Calibri" w:hAnsi="Calibri" w:eastAsia="仿宋"/>
          <w:kern w:val="0"/>
          <w:szCs w:val="32"/>
        </w:rPr>
        <w:t>附件</w:t>
      </w:r>
    </w:p>
    <w:p w14:paraId="22458CFA">
      <w:pPr>
        <w:widowControl/>
        <w:spacing w:line="600" w:lineRule="exact"/>
        <w:jc w:val="center"/>
        <w:outlineLvl w:val="0"/>
        <w:rPr>
          <w:rFonts w:hint="eastAsia" w:ascii="方正小标宋简体" w:hAnsi="方正小标宋简体" w:eastAsia="方正小标宋简体" w:cs="方正小标宋简体"/>
          <w:bCs/>
          <w:kern w:val="36"/>
          <w:sz w:val="36"/>
          <w:szCs w:val="36"/>
        </w:rPr>
      </w:pPr>
      <w:bookmarkStart w:id="0" w:name="_GoBack"/>
      <w:r>
        <w:rPr>
          <w:rFonts w:hint="eastAsia" w:ascii="方正小标宋简体" w:hAnsi="方正小标宋简体" w:eastAsia="方正小标宋简体" w:cs="方正小标宋简体"/>
          <w:bCs/>
          <w:kern w:val="36"/>
          <w:sz w:val="36"/>
          <w:szCs w:val="36"/>
        </w:rPr>
        <w:t>广东省市场监督管理局</w:t>
      </w:r>
    </w:p>
    <w:p w14:paraId="56593FC4">
      <w:pPr>
        <w:widowControl/>
        <w:spacing w:line="600" w:lineRule="exact"/>
        <w:jc w:val="center"/>
        <w:outlineLvl w:val="0"/>
        <w:rPr>
          <w:rFonts w:hint="eastAsia" w:ascii="方正小标宋简体" w:hAnsi="方正小标宋简体" w:eastAsia="方正小标宋简体" w:cs="方正小标宋简体"/>
          <w:bCs/>
          <w:kern w:val="36"/>
          <w:sz w:val="36"/>
          <w:szCs w:val="36"/>
        </w:rPr>
      </w:pPr>
      <w:r>
        <w:rPr>
          <w:rFonts w:hint="eastAsia" w:ascii="方正小标宋简体" w:hAnsi="方正小标宋简体" w:eastAsia="方正小标宋简体" w:cs="方正小标宋简体"/>
          <w:bCs/>
          <w:kern w:val="36"/>
          <w:sz w:val="36"/>
          <w:szCs w:val="36"/>
        </w:rPr>
        <w:t>食品经营许可和备案实施细则</w:t>
      </w:r>
    </w:p>
    <w:p w14:paraId="433BE317">
      <w:pPr>
        <w:widowControl/>
        <w:spacing w:line="600" w:lineRule="exact"/>
        <w:jc w:val="center"/>
        <w:outlineLvl w:val="0"/>
        <w:rPr>
          <w:rFonts w:hint="eastAsia" w:ascii="方正小标宋简体" w:hAnsi="方正小标宋简体" w:eastAsia="方正小标宋简体" w:cs="方正小标宋简体"/>
          <w:bCs/>
          <w:kern w:val="36"/>
          <w:sz w:val="28"/>
          <w:szCs w:val="28"/>
        </w:rPr>
      </w:pPr>
      <w:r>
        <w:rPr>
          <w:rFonts w:hint="eastAsia" w:ascii="方正小标宋简体" w:hAnsi="方正小标宋简体" w:eastAsia="方正小标宋简体" w:cs="方正小标宋简体"/>
          <w:bCs/>
          <w:kern w:val="36"/>
          <w:sz w:val="28"/>
          <w:szCs w:val="28"/>
        </w:rPr>
        <w:t>（</w:t>
      </w:r>
      <w:r>
        <w:rPr>
          <w:rFonts w:hint="eastAsia" w:ascii="方正小标宋简体" w:hAnsi="方正小标宋简体" w:eastAsia="方正小标宋简体" w:cs="方正小标宋简体"/>
          <w:bCs/>
          <w:kern w:val="36"/>
          <w:sz w:val="28"/>
          <w:szCs w:val="28"/>
          <w:lang w:eastAsia="zh-CN"/>
        </w:rPr>
        <w:t>征求意见</w:t>
      </w:r>
      <w:r>
        <w:rPr>
          <w:rFonts w:hint="eastAsia" w:ascii="方正小标宋简体" w:hAnsi="方正小标宋简体" w:eastAsia="方正小标宋简体" w:cs="方正小标宋简体"/>
          <w:bCs/>
          <w:kern w:val="36"/>
          <w:sz w:val="28"/>
          <w:szCs w:val="28"/>
        </w:rPr>
        <w:t>稿）</w:t>
      </w:r>
    </w:p>
    <w:bookmarkEnd w:id="0"/>
    <w:p w14:paraId="231AACAF">
      <w:pPr>
        <w:widowControl/>
        <w:spacing w:line="600" w:lineRule="exact"/>
        <w:rPr>
          <w:rFonts w:hint="eastAsia" w:eastAsia="仿宋"/>
          <w:b/>
          <w:bCs/>
          <w:kern w:val="0"/>
          <w:sz w:val="28"/>
          <w:szCs w:val="28"/>
        </w:rPr>
      </w:pPr>
    </w:p>
    <w:p w14:paraId="7C073911">
      <w:pPr>
        <w:widowControl/>
        <w:spacing w:line="600" w:lineRule="exact"/>
        <w:ind w:firstLine="560"/>
        <w:rPr>
          <w:rFonts w:hint="eastAsia" w:eastAsia="仿宋"/>
          <w:kern w:val="0"/>
          <w:szCs w:val="32"/>
        </w:rPr>
      </w:pPr>
      <w:r>
        <w:rPr>
          <w:rFonts w:eastAsia="仿宋"/>
          <w:b/>
          <w:bCs/>
          <w:kern w:val="0"/>
          <w:szCs w:val="32"/>
        </w:rPr>
        <w:t>第一条</w:t>
      </w:r>
      <w:r>
        <w:rPr>
          <w:rFonts w:hint="eastAsia" w:eastAsia="仿宋"/>
          <w:b/>
          <w:bCs/>
          <w:kern w:val="0"/>
          <w:szCs w:val="32"/>
        </w:rPr>
        <w:t>（立法依据）</w:t>
      </w:r>
      <w:r>
        <w:rPr>
          <w:rFonts w:eastAsia="仿宋"/>
          <w:kern w:val="0"/>
          <w:szCs w:val="32"/>
        </w:rPr>
        <w:t>　为规范食品经营许可</w:t>
      </w:r>
      <w:r>
        <w:rPr>
          <w:rFonts w:hint="eastAsia" w:eastAsia="仿宋"/>
          <w:kern w:val="0"/>
          <w:szCs w:val="32"/>
        </w:rPr>
        <w:t>和备案工作</w:t>
      </w:r>
      <w:r>
        <w:rPr>
          <w:rFonts w:eastAsia="仿宋"/>
          <w:kern w:val="0"/>
          <w:szCs w:val="32"/>
        </w:rPr>
        <w:t>，根据</w:t>
      </w:r>
      <w:r>
        <w:rPr>
          <w:rFonts w:hint="eastAsia" w:eastAsia="仿宋"/>
          <w:kern w:val="0"/>
          <w:szCs w:val="32"/>
        </w:rPr>
        <w:t>《中华人民共和国食品安全法》</w:t>
      </w:r>
      <w:r>
        <w:rPr>
          <w:rFonts w:eastAsia="仿宋"/>
          <w:kern w:val="0"/>
          <w:szCs w:val="32"/>
        </w:rPr>
        <w:t>《食品经营许可</w:t>
      </w:r>
      <w:r>
        <w:rPr>
          <w:rFonts w:hint="eastAsia" w:eastAsia="仿宋"/>
          <w:kern w:val="0"/>
          <w:szCs w:val="32"/>
        </w:rPr>
        <w:t>和备案</w:t>
      </w:r>
      <w:r>
        <w:rPr>
          <w:rFonts w:eastAsia="仿宋"/>
          <w:kern w:val="0"/>
          <w:szCs w:val="32"/>
        </w:rPr>
        <w:t>管理</w:t>
      </w:r>
      <w:r>
        <w:rPr>
          <w:rFonts w:hint="eastAsia" w:eastAsia="仿宋"/>
          <w:kern w:val="0"/>
          <w:szCs w:val="32"/>
        </w:rPr>
        <w:t>办法》《食品经营许可审查通则》，结合本省实际，制定本实施细则。</w:t>
      </w:r>
    </w:p>
    <w:p w14:paraId="07060331">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食品经营许可和备案管理办法》第六十三条规定，省市场监督管理部门可以根据本行政区域实际情况，制定有关食品经营许可和备案管理的具体实施办法。《食品经营许可审查通则》（以下简称通则）第七十三条规定，各省市场监督管理部门应根据本通则结合地方实际制定实施细则。本实施细则对总局办法和通则在执行和操作层面上进行细化，总局办法及通则有明确规定的，本细则原则上不作重复规定。</w:t>
      </w:r>
    </w:p>
    <w:p w14:paraId="0F70A2F4">
      <w:pPr>
        <w:widowControl/>
        <w:spacing w:line="600" w:lineRule="exact"/>
        <w:ind w:firstLine="560"/>
        <w:rPr>
          <w:rFonts w:eastAsia="仿宋"/>
          <w:kern w:val="0"/>
          <w:szCs w:val="32"/>
        </w:rPr>
      </w:pPr>
      <w:r>
        <w:rPr>
          <w:rFonts w:eastAsia="仿宋"/>
          <w:b/>
          <w:bCs/>
          <w:kern w:val="0"/>
          <w:szCs w:val="32"/>
        </w:rPr>
        <w:t>第二条</w:t>
      </w:r>
      <w:r>
        <w:rPr>
          <w:rFonts w:hint="eastAsia" w:eastAsia="仿宋"/>
          <w:b/>
          <w:bCs/>
          <w:kern w:val="0"/>
          <w:szCs w:val="32"/>
        </w:rPr>
        <w:t>（适用范围）</w:t>
      </w:r>
      <w:r>
        <w:rPr>
          <w:rFonts w:eastAsia="仿宋"/>
          <w:kern w:val="0"/>
          <w:szCs w:val="32"/>
        </w:rPr>
        <w:t>　本细则适用于本省辖区内食品经营许可的申请、受理</w:t>
      </w:r>
      <w:r>
        <w:rPr>
          <w:rFonts w:hint="eastAsia" w:eastAsia="仿宋"/>
          <w:kern w:val="0"/>
          <w:szCs w:val="32"/>
        </w:rPr>
        <w:t>、</w:t>
      </w:r>
      <w:r>
        <w:rPr>
          <w:rFonts w:eastAsia="仿宋"/>
          <w:kern w:val="0"/>
          <w:szCs w:val="32"/>
        </w:rPr>
        <w:t>审查</w:t>
      </w:r>
      <w:r>
        <w:rPr>
          <w:rFonts w:hint="eastAsia" w:eastAsia="仿宋"/>
          <w:kern w:val="0"/>
          <w:szCs w:val="32"/>
        </w:rPr>
        <w:t>、决定，仅销售预包装食品（含保健食品、特殊医学用途配方食品、婴幼儿配方乳粉以及其他婴幼儿配方食品等特殊食品，下同）的备案，以及相关监督检查工作</w:t>
      </w:r>
      <w:r>
        <w:rPr>
          <w:rFonts w:eastAsia="仿宋"/>
          <w:kern w:val="0"/>
          <w:szCs w:val="32"/>
        </w:rPr>
        <w:t>。</w:t>
      </w:r>
    </w:p>
    <w:p w14:paraId="0CC6958D">
      <w:pPr>
        <w:widowControl/>
        <w:spacing w:line="600" w:lineRule="exact"/>
        <w:ind w:firstLine="560"/>
        <w:rPr>
          <w:rFonts w:hint="eastAsia" w:eastAsia="仿宋"/>
          <w:kern w:val="0"/>
          <w:szCs w:val="32"/>
          <w:lang w:eastAsia="zh-CN"/>
        </w:rPr>
      </w:pPr>
      <w:r>
        <w:rPr>
          <w:rFonts w:eastAsia="仿宋"/>
          <w:b/>
          <w:bCs/>
          <w:kern w:val="0"/>
          <w:szCs w:val="32"/>
        </w:rPr>
        <w:t>第</w:t>
      </w:r>
      <w:r>
        <w:rPr>
          <w:rFonts w:hint="eastAsia" w:eastAsia="仿宋"/>
          <w:b/>
          <w:bCs/>
          <w:kern w:val="0"/>
          <w:szCs w:val="32"/>
        </w:rPr>
        <w:t>三</w:t>
      </w:r>
      <w:r>
        <w:rPr>
          <w:rFonts w:eastAsia="仿宋"/>
          <w:b/>
          <w:bCs/>
          <w:kern w:val="0"/>
          <w:szCs w:val="32"/>
        </w:rPr>
        <w:t>条</w:t>
      </w:r>
      <w:r>
        <w:rPr>
          <w:rFonts w:hint="eastAsia" w:eastAsia="仿宋"/>
          <w:b/>
          <w:bCs/>
          <w:kern w:val="0"/>
          <w:szCs w:val="32"/>
        </w:rPr>
        <w:t>（层级分工）</w:t>
      </w:r>
      <w:r>
        <w:rPr>
          <w:rFonts w:eastAsia="仿宋"/>
          <w:kern w:val="0"/>
          <w:szCs w:val="32"/>
        </w:rPr>
        <w:t>　省市场监督管理局负责指导全省食品经营许可</w:t>
      </w:r>
      <w:r>
        <w:rPr>
          <w:rFonts w:hint="eastAsia" w:eastAsia="仿宋"/>
          <w:kern w:val="0"/>
          <w:szCs w:val="32"/>
        </w:rPr>
        <w:t>和备案</w:t>
      </w:r>
      <w:r>
        <w:rPr>
          <w:rFonts w:eastAsia="仿宋"/>
          <w:kern w:val="0"/>
          <w:szCs w:val="32"/>
        </w:rPr>
        <w:t>管理工作</w:t>
      </w:r>
      <w:r>
        <w:rPr>
          <w:rFonts w:hint="eastAsia" w:eastAsia="仿宋"/>
          <w:kern w:val="0"/>
          <w:szCs w:val="32"/>
          <w:lang w:eastAsia="zh-CN"/>
        </w:rPr>
        <w:t>；</w:t>
      </w:r>
      <w:r>
        <w:rPr>
          <w:rFonts w:hint="eastAsia" w:eastAsia="仿宋"/>
          <w:kern w:val="0"/>
          <w:szCs w:val="32"/>
        </w:rPr>
        <w:t>负责</w:t>
      </w:r>
      <w:r>
        <w:rPr>
          <w:rFonts w:eastAsia="仿宋"/>
          <w:kern w:val="0"/>
          <w:szCs w:val="32"/>
        </w:rPr>
        <w:t>利用自动设备</w:t>
      </w:r>
      <w:r>
        <w:rPr>
          <w:rFonts w:hint="eastAsia" w:eastAsia="仿宋"/>
          <w:kern w:val="0"/>
          <w:szCs w:val="32"/>
        </w:rPr>
        <w:t>经营</w:t>
      </w:r>
      <w:r>
        <w:rPr>
          <w:rFonts w:hint="eastAsia" w:eastAsia="仿宋"/>
          <w:kern w:val="0"/>
          <w:szCs w:val="32"/>
          <w:lang w:eastAsia="zh-CN"/>
        </w:rPr>
        <w:t>及</w:t>
      </w:r>
      <w:r>
        <w:rPr>
          <w:rFonts w:eastAsia="仿宋"/>
          <w:kern w:val="0"/>
          <w:szCs w:val="32"/>
        </w:rPr>
        <w:t>从事食品</w:t>
      </w:r>
      <w:r>
        <w:rPr>
          <w:rFonts w:hint="eastAsia" w:eastAsia="仿宋"/>
          <w:kern w:val="0"/>
          <w:szCs w:val="32"/>
          <w:lang w:eastAsia="zh-CN"/>
        </w:rPr>
        <w:t>经营管理跨省经营报告工作</w:t>
      </w:r>
      <w:r>
        <w:rPr>
          <w:rFonts w:hint="eastAsia" w:eastAsia="仿宋"/>
          <w:kern w:val="0"/>
          <w:szCs w:val="32"/>
        </w:rPr>
        <w:t>。</w:t>
      </w:r>
    </w:p>
    <w:p w14:paraId="58094EE0">
      <w:pPr>
        <w:widowControl/>
        <w:spacing w:line="600" w:lineRule="exact"/>
        <w:ind w:firstLine="560"/>
        <w:rPr>
          <w:rFonts w:hint="eastAsia" w:eastAsia="仿宋"/>
          <w:kern w:val="0"/>
          <w:szCs w:val="32"/>
        </w:rPr>
      </w:pPr>
      <w:r>
        <w:rPr>
          <w:rFonts w:hint="eastAsia" w:eastAsia="仿宋"/>
          <w:kern w:val="0"/>
          <w:szCs w:val="32"/>
        </w:rPr>
        <w:t>市、</w:t>
      </w:r>
      <w:r>
        <w:rPr>
          <w:rFonts w:eastAsia="仿宋"/>
          <w:kern w:val="0"/>
          <w:szCs w:val="32"/>
        </w:rPr>
        <w:t>县级市场监督管理部门负责本辖区内食品经营许可</w:t>
      </w:r>
      <w:r>
        <w:rPr>
          <w:rFonts w:hint="eastAsia" w:eastAsia="仿宋"/>
          <w:kern w:val="0"/>
          <w:szCs w:val="32"/>
        </w:rPr>
        <w:t>和备案</w:t>
      </w:r>
      <w:r>
        <w:rPr>
          <w:rFonts w:eastAsia="仿宋"/>
          <w:kern w:val="0"/>
          <w:szCs w:val="32"/>
        </w:rPr>
        <w:t>实施工作。</w:t>
      </w:r>
    </w:p>
    <w:p w14:paraId="2176C89D">
      <w:pPr>
        <w:widowControl/>
        <w:spacing w:line="600" w:lineRule="exact"/>
        <w:ind w:firstLine="560"/>
        <w:rPr>
          <w:rFonts w:hint="eastAsia" w:eastAsia="仿宋"/>
          <w:kern w:val="0"/>
          <w:szCs w:val="32"/>
        </w:rPr>
      </w:pPr>
      <w:r>
        <w:rPr>
          <w:rFonts w:eastAsia="仿宋"/>
          <w:kern w:val="0"/>
          <w:szCs w:val="32"/>
        </w:rPr>
        <w:t>设区的市市场监督管理部门可以</w:t>
      </w:r>
      <w:r>
        <w:rPr>
          <w:rFonts w:hint="eastAsia" w:eastAsia="仿宋"/>
          <w:kern w:val="0"/>
          <w:szCs w:val="32"/>
        </w:rPr>
        <w:t>根据主体业态、食品经营项目和食品安全风险状况等，结合食品安全风险管理实际，确定</w:t>
      </w:r>
      <w:r>
        <w:rPr>
          <w:rFonts w:hint="eastAsia" w:eastAsia="仿宋"/>
          <w:kern w:val="0"/>
          <w:szCs w:val="32"/>
          <w:lang w:eastAsia="zh-CN"/>
        </w:rPr>
        <w:t>本辖区内</w:t>
      </w:r>
      <w:r>
        <w:rPr>
          <w:rFonts w:hint="eastAsia" w:eastAsia="仿宋"/>
          <w:kern w:val="0"/>
          <w:szCs w:val="32"/>
        </w:rPr>
        <w:t>中央部属高校、省属高校和其他高校</w:t>
      </w:r>
      <w:r>
        <w:rPr>
          <w:rFonts w:hint="eastAsia" w:eastAsia="仿宋"/>
          <w:kern w:val="0"/>
          <w:szCs w:val="32"/>
          <w:lang w:eastAsia="zh-CN"/>
        </w:rPr>
        <w:t>食堂</w:t>
      </w:r>
      <w:r>
        <w:rPr>
          <w:rFonts w:hint="eastAsia" w:eastAsia="仿宋"/>
          <w:kern w:val="0"/>
          <w:szCs w:val="32"/>
        </w:rPr>
        <w:t>的食品经营许可</w:t>
      </w:r>
      <w:r>
        <w:rPr>
          <w:rFonts w:hint="eastAsia" w:eastAsia="仿宋"/>
          <w:kern w:val="0"/>
          <w:szCs w:val="32"/>
          <w:lang w:eastAsia="zh-CN"/>
        </w:rPr>
        <w:t>及</w:t>
      </w:r>
      <w:r>
        <w:rPr>
          <w:rFonts w:hint="eastAsia" w:eastAsia="仿宋"/>
          <w:kern w:val="0"/>
          <w:szCs w:val="32"/>
        </w:rPr>
        <w:t>其他经营业态的许可</w:t>
      </w:r>
      <w:r>
        <w:rPr>
          <w:rFonts w:hint="eastAsia" w:eastAsia="仿宋"/>
          <w:kern w:val="0"/>
          <w:szCs w:val="32"/>
          <w:lang w:eastAsia="zh-CN"/>
        </w:rPr>
        <w:t>、报告</w:t>
      </w:r>
      <w:r>
        <w:rPr>
          <w:rFonts w:hint="eastAsia" w:eastAsia="仿宋"/>
          <w:kern w:val="0"/>
          <w:szCs w:val="32"/>
        </w:rPr>
        <w:t>和备案权限。</w:t>
      </w:r>
    </w:p>
    <w:p w14:paraId="425FD277">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说明：总局办法第七条规定：</w:t>
      </w:r>
      <w:r>
        <w:rPr>
          <w:rFonts w:ascii="方正楷体_GBK" w:hAnsi="方正楷体_GBK" w:eastAsia="方正楷体_GBK" w:cs="方正楷体_GBK"/>
          <w:bCs/>
          <w:sz w:val="28"/>
          <w:szCs w:val="28"/>
        </w:rPr>
        <w:t>利用自动设备跨省经营的，应当分别向经营者所在地和自动设备放置地点所在地省级市场监督管理部门报告。跨省从事食品经营管理活动的，应当分别向经营者所在地和从事经营管理活动所在地省级市场监督管理部门报告。</w:t>
      </w:r>
      <w:r>
        <w:rPr>
          <w:rFonts w:hint="eastAsia" w:ascii="方正楷体_GBK" w:hAnsi="方正楷体_GBK" w:eastAsia="方正楷体_GBK" w:cs="方正楷体_GBK"/>
          <w:bCs/>
          <w:sz w:val="28"/>
          <w:szCs w:val="28"/>
        </w:rPr>
        <w:t>总局办法第八条规定：省、自治区、直辖市市场监督管理部门可以根据食品经营主体业态、经营项目和食品安全风险状况等，结合食品安全风险管理实际，确定本行政区域内市场监督管理部门的食品经营许可和备案管理权限。</w:t>
      </w:r>
    </w:p>
    <w:p w14:paraId="765056D8">
      <w:pPr>
        <w:widowControl/>
        <w:spacing w:line="500" w:lineRule="exact"/>
        <w:ind w:firstLine="561"/>
        <w:rPr>
          <w:rFonts w:hint="eastAsia" w:eastAsia="仿宋"/>
          <w:kern w:val="0"/>
          <w:szCs w:val="32"/>
        </w:rPr>
      </w:pPr>
      <w:r>
        <w:rPr>
          <w:rFonts w:hint="eastAsia" w:eastAsia="仿宋"/>
          <w:kern w:val="0"/>
          <w:szCs w:val="32"/>
          <w:lang w:eastAsia="zh-CN"/>
        </w:rPr>
        <w:t>实施食品经营许可的</w:t>
      </w:r>
      <w:r>
        <w:rPr>
          <w:rFonts w:hint="eastAsia" w:eastAsia="仿宋"/>
          <w:kern w:val="0"/>
          <w:szCs w:val="32"/>
        </w:rPr>
        <w:t>部门负责本行政区域内食品经营许可证的印制和发放工作。</w:t>
      </w:r>
    </w:p>
    <w:p w14:paraId="2202160F">
      <w:pPr>
        <w:spacing w:line="600" w:lineRule="exact"/>
        <w:ind w:firstLine="643" w:firstLineChars="200"/>
        <w:rPr>
          <w:rFonts w:eastAsia="仿宋"/>
          <w:kern w:val="0"/>
          <w:szCs w:val="32"/>
        </w:rPr>
      </w:pPr>
      <w:r>
        <w:rPr>
          <w:rFonts w:eastAsia="仿宋"/>
          <w:b/>
          <w:bCs/>
          <w:kern w:val="0"/>
          <w:szCs w:val="32"/>
        </w:rPr>
        <w:t>第</w:t>
      </w:r>
      <w:r>
        <w:rPr>
          <w:rFonts w:hint="eastAsia" w:eastAsia="仿宋"/>
          <w:b/>
          <w:bCs/>
          <w:kern w:val="0"/>
          <w:szCs w:val="32"/>
        </w:rPr>
        <w:t>四</w:t>
      </w:r>
      <w:r>
        <w:rPr>
          <w:rFonts w:eastAsia="仿宋"/>
          <w:b/>
          <w:bCs/>
          <w:kern w:val="0"/>
          <w:szCs w:val="32"/>
        </w:rPr>
        <w:t>条</w:t>
      </w:r>
      <w:r>
        <w:rPr>
          <w:rFonts w:hint="eastAsia" w:eastAsia="仿宋"/>
          <w:b/>
          <w:bCs/>
          <w:kern w:val="0"/>
          <w:szCs w:val="32"/>
        </w:rPr>
        <w:t>（主体业态分类）</w:t>
      </w:r>
      <w:r>
        <w:rPr>
          <w:rFonts w:eastAsia="仿宋"/>
          <w:kern w:val="0"/>
          <w:szCs w:val="32"/>
        </w:rPr>
        <w:t>　食品销售经营者包括销</w:t>
      </w:r>
      <w:r>
        <w:rPr>
          <w:rFonts w:hint="eastAsia" w:eastAsia="仿宋"/>
          <w:kern w:val="0"/>
          <w:szCs w:val="32"/>
        </w:rPr>
        <w:t>售食品或以销售食品为主的</w:t>
      </w:r>
      <w:r>
        <w:rPr>
          <w:rFonts w:hint="eastAsia" w:eastAsia="仿宋"/>
          <w:kern w:val="0"/>
          <w:szCs w:val="32"/>
          <w:lang w:eastAsia="zh-CN"/>
        </w:rPr>
        <w:t>批发商、</w:t>
      </w:r>
      <w:r>
        <w:rPr>
          <w:rFonts w:hint="eastAsia" w:eastAsia="仿宋"/>
          <w:kern w:val="0"/>
          <w:szCs w:val="32"/>
        </w:rPr>
        <w:t>商场超市、便利店、专营店、兼营食品店、食杂店、</w:t>
      </w:r>
      <w:r>
        <w:rPr>
          <w:rFonts w:hint="eastAsia" w:eastAsia="仿宋"/>
          <w:kern w:val="0"/>
          <w:szCs w:val="32"/>
          <w:lang w:eastAsia="zh-CN"/>
        </w:rPr>
        <w:t>食品贸易商、无实体门店的互联网经营者</w:t>
      </w:r>
      <w:r>
        <w:rPr>
          <w:rFonts w:eastAsia="仿宋"/>
          <w:kern w:val="0"/>
          <w:szCs w:val="32"/>
        </w:rPr>
        <w:t>、</w:t>
      </w:r>
      <w:r>
        <w:rPr>
          <w:rFonts w:hint="eastAsia" w:eastAsia="仿宋"/>
          <w:kern w:val="0"/>
          <w:szCs w:val="32"/>
        </w:rPr>
        <w:t>利用自动设备销售食品的经营者以及食品销售连锁企业总部</w:t>
      </w:r>
      <w:r>
        <w:rPr>
          <w:rFonts w:eastAsia="仿宋"/>
          <w:kern w:val="0"/>
          <w:szCs w:val="32"/>
        </w:rPr>
        <w:t>等具体业态。</w:t>
      </w:r>
    </w:p>
    <w:p w14:paraId="2D3F0686">
      <w:pPr>
        <w:widowControl/>
        <w:spacing w:line="600" w:lineRule="exact"/>
        <w:ind w:firstLine="640"/>
        <w:rPr>
          <w:rFonts w:hint="eastAsia" w:eastAsia="仿宋" w:cs="Times New Roman"/>
          <w:kern w:val="0"/>
          <w:szCs w:val="32"/>
          <w:lang w:val="en-US" w:eastAsia="zh-CN"/>
        </w:rPr>
      </w:pPr>
      <w:r>
        <w:rPr>
          <w:rFonts w:eastAsia="仿宋"/>
          <w:kern w:val="0"/>
          <w:szCs w:val="32"/>
        </w:rPr>
        <w:t>餐饮服务经营者包括</w:t>
      </w:r>
      <w:r>
        <w:rPr>
          <w:rFonts w:hint="eastAsia" w:eastAsia="仿宋"/>
          <w:kern w:val="0"/>
          <w:szCs w:val="32"/>
        </w:rPr>
        <w:t>制售食品或以制售食品为主的</w:t>
      </w:r>
      <w:r>
        <w:rPr>
          <w:rFonts w:eastAsia="仿宋"/>
          <w:kern w:val="0"/>
          <w:szCs w:val="32"/>
        </w:rPr>
        <w:t>餐馆（大型、中型、小型）、中央厨房、集体用餐配送单位、糕点店、饮品店、小餐饮</w:t>
      </w:r>
      <w:r>
        <w:rPr>
          <w:rFonts w:hint="eastAsia" w:eastAsia="仿宋"/>
          <w:kern w:val="0"/>
          <w:szCs w:val="32"/>
          <w:lang w:eastAsia="zh-CN"/>
        </w:rPr>
        <w:t>、</w:t>
      </w:r>
      <w:r>
        <w:rPr>
          <w:rFonts w:hint="eastAsia" w:eastAsia="仿宋"/>
          <w:kern w:val="0"/>
          <w:szCs w:val="32"/>
        </w:rPr>
        <w:t>利用自动设备制售食品的经营者</w:t>
      </w:r>
      <w:r>
        <w:rPr>
          <w:rFonts w:hint="eastAsia" w:eastAsia="仿宋"/>
          <w:kern w:val="0"/>
          <w:szCs w:val="32"/>
          <w:lang w:eastAsia="zh-CN"/>
        </w:rPr>
        <w:t>、</w:t>
      </w:r>
      <w:r>
        <w:rPr>
          <w:rFonts w:eastAsia="仿宋"/>
          <w:kern w:val="0"/>
          <w:szCs w:val="32"/>
        </w:rPr>
        <w:t>餐饮服务连锁</w:t>
      </w:r>
      <w:r>
        <w:rPr>
          <w:rFonts w:hint="eastAsia" w:eastAsia="仿宋"/>
          <w:kern w:val="0"/>
          <w:szCs w:val="32"/>
        </w:rPr>
        <w:t>企业总部</w:t>
      </w:r>
      <w:r>
        <w:rPr>
          <w:rFonts w:eastAsia="仿宋"/>
          <w:kern w:val="0"/>
          <w:szCs w:val="32"/>
        </w:rPr>
        <w:t>、餐饮</w:t>
      </w:r>
      <w:r>
        <w:rPr>
          <w:rFonts w:hint="eastAsia" w:eastAsia="仿宋"/>
          <w:kern w:val="0"/>
          <w:szCs w:val="32"/>
        </w:rPr>
        <w:t>服务</w:t>
      </w:r>
      <w:r>
        <w:rPr>
          <w:rFonts w:eastAsia="仿宋"/>
          <w:kern w:val="0"/>
          <w:szCs w:val="32"/>
        </w:rPr>
        <w:t>管理</w:t>
      </w:r>
      <w:r>
        <w:rPr>
          <w:rFonts w:hint="eastAsia" w:eastAsia="仿宋"/>
          <w:kern w:val="0"/>
          <w:szCs w:val="32"/>
        </w:rPr>
        <w:t>企业</w:t>
      </w:r>
      <w:r>
        <w:rPr>
          <w:rFonts w:eastAsia="仿宋"/>
          <w:kern w:val="0"/>
          <w:szCs w:val="32"/>
        </w:rPr>
        <w:t>等具体业态。</w:t>
      </w:r>
      <w:r>
        <w:rPr>
          <w:rFonts w:hint="eastAsia" w:eastAsia="仿宋"/>
          <w:kern w:val="0"/>
          <w:szCs w:val="32"/>
        </w:rPr>
        <w:t>凉茶店按经营面积归类于</w:t>
      </w:r>
      <w:r>
        <w:rPr>
          <w:rFonts w:eastAsia="仿宋"/>
          <w:kern w:val="0"/>
          <w:szCs w:val="32"/>
        </w:rPr>
        <w:t>饮品店</w:t>
      </w:r>
      <w:r>
        <w:rPr>
          <w:rFonts w:hint="eastAsia" w:eastAsia="仿宋"/>
          <w:kern w:val="0"/>
          <w:szCs w:val="32"/>
        </w:rPr>
        <w:t>或</w:t>
      </w:r>
      <w:r>
        <w:rPr>
          <w:rFonts w:eastAsia="仿宋"/>
          <w:kern w:val="0"/>
          <w:szCs w:val="32"/>
        </w:rPr>
        <w:t>小餐饮</w:t>
      </w:r>
      <w:r>
        <w:rPr>
          <w:rFonts w:hint="eastAsia" w:eastAsia="仿宋"/>
          <w:kern w:val="0"/>
          <w:szCs w:val="32"/>
        </w:rPr>
        <w:t>。</w:t>
      </w:r>
    </w:p>
    <w:p w14:paraId="430057A3">
      <w:pPr>
        <w:widowControl/>
        <w:spacing w:line="600" w:lineRule="exact"/>
        <w:ind w:firstLine="640"/>
        <w:rPr>
          <w:rFonts w:hint="eastAsia" w:eastAsia="仿宋" w:cs="Times New Roman"/>
          <w:kern w:val="0"/>
          <w:szCs w:val="32"/>
          <w:u w:val="single"/>
          <w:lang w:val="en-US" w:eastAsia="zh-CN"/>
        </w:rPr>
      </w:pPr>
      <w:r>
        <w:rPr>
          <w:rFonts w:hint="eastAsia" w:eastAsia="仿宋"/>
          <w:kern w:val="0"/>
          <w:szCs w:val="32"/>
        </w:rPr>
        <w:t>集中用餐单位食堂</w:t>
      </w:r>
      <w:r>
        <w:rPr>
          <w:rFonts w:eastAsia="仿宋"/>
          <w:kern w:val="0"/>
          <w:szCs w:val="32"/>
        </w:rPr>
        <w:t>包括学校食堂</w:t>
      </w:r>
      <w:r>
        <w:rPr>
          <w:rFonts w:eastAsia="仿宋" w:cs="Times New Roman"/>
          <w:kern w:val="0"/>
          <w:szCs w:val="32"/>
        </w:rPr>
        <w:t>、托幼机构食堂、养老机构食堂</w:t>
      </w:r>
      <w:r>
        <w:rPr>
          <w:rFonts w:hint="eastAsia" w:eastAsia="仿宋" w:cs="Times New Roman"/>
          <w:kern w:val="0"/>
          <w:szCs w:val="32"/>
        </w:rPr>
        <w:t>、医疗机构食堂、</w:t>
      </w:r>
      <w:r>
        <w:rPr>
          <w:rFonts w:hint="eastAsia" w:eastAsia="仿宋" w:cs="Times New Roman"/>
          <w:kern w:val="0"/>
          <w:szCs w:val="32"/>
          <w:lang w:eastAsia="zh-CN"/>
        </w:rPr>
        <w:t>月子中心食堂、托育机构食堂、长者食堂、</w:t>
      </w:r>
      <w:r>
        <w:rPr>
          <w:rFonts w:hint="eastAsia" w:eastAsia="仿宋" w:cs="Times New Roman"/>
          <w:kern w:val="0"/>
          <w:szCs w:val="32"/>
        </w:rPr>
        <w:t>培训机构食堂、</w:t>
      </w:r>
      <w:r>
        <w:rPr>
          <w:rFonts w:hint="eastAsia" w:eastAsia="仿宋" w:cs="Times New Roman"/>
          <w:kern w:val="0"/>
          <w:szCs w:val="32"/>
          <w:lang w:eastAsia="zh-CN"/>
        </w:rPr>
        <w:t>校外托管机构食堂、机关事业单位</w:t>
      </w:r>
      <w:r>
        <w:rPr>
          <w:rFonts w:eastAsia="仿宋" w:cs="Times New Roman"/>
          <w:kern w:val="0"/>
          <w:szCs w:val="32"/>
        </w:rPr>
        <w:t>食堂、</w:t>
      </w:r>
      <w:r>
        <w:rPr>
          <w:rFonts w:hint="eastAsia" w:eastAsia="仿宋" w:cs="Times New Roman"/>
          <w:kern w:val="0"/>
          <w:szCs w:val="32"/>
          <w:lang w:eastAsia="zh-CN"/>
        </w:rPr>
        <w:t>企业食堂、</w:t>
      </w:r>
      <w:r>
        <w:rPr>
          <w:rFonts w:eastAsia="仿宋" w:cs="Times New Roman"/>
          <w:kern w:val="0"/>
          <w:szCs w:val="32"/>
        </w:rPr>
        <w:t>工地食堂</w:t>
      </w:r>
      <w:r>
        <w:rPr>
          <w:rFonts w:hint="eastAsia" w:eastAsia="仿宋" w:cs="Times New Roman"/>
          <w:kern w:val="0"/>
          <w:szCs w:val="32"/>
          <w:lang w:val="en-US" w:eastAsia="zh-CN"/>
        </w:rPr>
        <w:t>、其他食堂</w:t>
      </w:r>
      <w:r>
        <w:rPr>
          <w:rFonts w:eastAsia="仿宋" w:cs="Times New Roman"/>
          <w:kern w:val="0"/>
          <w:szCs w:val="32"/>
        </w:rPr>
        <w:t>等。</w:t>
      </w:r>
      <w:r>
        <w:rPr>
          <w:rFonts w:hint="eastAsia" w:eastAsia="仿宋" w:cs="Times New Roman"/>
          <w:kern w:val="0"/>
          <w:szCs w:val="32"/>
          <w:u w:val="none"/>
          <w:lang w:val="en-US" w:eastAsia="zh-CN"/>
        </w:rPr>
        <w:t>用餐人数在50人以下的</w:t>
      </w:r>
      <w:r>
        <w:rPr>
          <w:rFonts w:hint="eastAsia" w:eastAsia="仿宋" w:cs="Times New Roman"/>
          <w:kern w:val="0"/>
          <w:szCs w:val="32"/>
          <w:lang w:eastAsia="zh-CN"/>
        </w:rPr>
        <w:t>月子中心食堂、托育机构食堂、长者食堂、</w:t>
      </w:r>
      <w:r>
        <w:rPr>
          <w:rFonts w:hint="eastAsia" w:eastAsia="仿宋" w:cs="Times New Roman"/>
          <w:kern w:val="0"/>
          <w:szCs w:val="32"/>
        </w:rPr>
        <w:t>培训机构食堂、</w:t>
      </w:r>
      <w:r>
        <w:rPr>
          <w:rFonts w:hint="eastAsia" w:eastAsia="仿宋"/>
          <w:kern w:val="0"/>
          <w:szCs w:val="32"/>
          <w:u w:val="none"/>
        </w:rPr>
        <w:t>校外</w:t>
      </w:r>
      <w:r>
        <w:rPr>
          <w:rFonts w:hint="eastAsia" w:eastAsia="仿宋" w:cs="Times New Roman"/>
          <w:kern w:val="0"/>
          <w:szCs w:val="32"/>
          <w:u w:val="none"/>
        </w:rPr>
        <w:t>托管机构</w:t>
      </w:r>
      <w:r>
        <w:rPr>
          <w:rFonts w:hint="eastAsia" w:eastAsia="仿宋" w:cs="Times New Roman"/>
          <w:kern w:val="0"/>
          <w:szCs w:val="32"/>
          <w:u w:val="none"/>
          <w:lang w:eastAsia="zh-CN"/>
        </w:rPr>
        <w:t>食堂</w:t>
      </w:r>
      <w:r>
        <w:rPr>
          <w:rFonts w:hint="eastAsia" w:eastAsia="仿宋" w:cs="Times New Roman"/>
          <w:kern w:val="0"/>
          <w:szCs w:val="32"/>
          <w:u w:val="none"/>
          <w:lang w:val="en-US" w:eastAsia="zh-CN"/>
        </w:rPr>
        <w:t>适用小餐饮许可条件。</w:t>
      </w:r>
    </w:p>
    <w:p w14:paraId="3251D613">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说明：总局办法规定主体业态分为三类。本条对主体业态作细化</w:t>
      </w:r>
      <w:r>
        <w:rPr>
          <w:rFonts w:hint="eastAsia" w:ascii="方正楷体_GBK" w:hAnsi="方正楷体_GBK" w:eastAsia="方正楷体_GBK" w:cs="方正楷体_GBK"/>
          <w:bCs/>
          <w:sz w:val="28"/>
          <w:szCs w:val="28"/>
          <w:lang w:eastAsia="zh-CN"/>
        </w:rPr>
        <w:t>分类</w:t>
      </w:r>
      <w:r>
        <w:rPr>
          <w:rFonts w:hint="eastAsia" w:ascii="方正楷体_GBK" w:hAnsi="方正楷体_GBK" w:eastAsia="方正楷体_GBK" w:cs="方正楷体_GBK"/>
          <w:bCs/>
          <w:sz w:val="28"/>
          <w:szCs w:val="28"/>
        </w:rPr>
        <w:t>，</w:t>
      </w:r>
      <w:r>
        <w:rPr>
          <w:rFonts w:hint="eastAsia" w:ascii="方正楷体_GBK" w:hAnsi="方正楷体_GBK" w:eastAsia="方正楷体_GBK" w:cs="方正楷体_GBK"/>
          <w:bCs/>
          <w:sz w:val="28"/>
          <w:szCs w:val="28"/>
          <w:lang w:eastAsia="zh-CN"/>
        </w:rPr>
        <w:t>便于经营者申报，</w:t>
      </w:r>
      <w:r>
        <w:rPr>
          <w:rFonts w:hint="eastAsia" w:ascii="方正楷体_GBK" w:hAnsi="方正楷体_GBK" w:eastAsia="方正楷体_GBK" w:cs="方正楷体_GBK"/>
          <w:bCs/>
          <w:sz w:val="28"/>
          <w:szCs w:val="28"/>
        </w:rPr>
        <w:t>细化后的业态不打印在许可证上，可在许可系统显示，用于现场核查分类及细分统计使用。</w:t>
      </w:r>
    </w:p>
    <w:p w14:paraId="2D3D1689">
      <w:pPr>
        <w:pStyle w:val="3"/>
        <w:ind w:firstLine="640" w:firstLineChars="200"/>
        <w:rPr>
          <w:rFonts w:hint="eastAsia" w:eastAsia="仿宋"/>
          <w:color w:val="FF0000"/>
          <w:kern w:val="0"/>
          <w:szCs w:val="32"/>
          <w:lang w:eastAsia="zh-CN"/>
        </w:rPr>
      </w:pPr>
      <w:r>
        <w:rPr>
          <w:rFonts w:hint="eastAsia" w:eastAsia="仿宋"/>
          <w:kern w:val="0"/>
          <w:szCs w:val="32"/>
        </w:rPr>
        <w:t>食品经营者申请的经营项目对应多种主体业态的，主体业态以经营面积较大的经营项目确定</w:t>
      </w:r>
      <w:r>
        <w:rPr>
          <w:rFonts w:hint="eastAsia" w:eastAsia="仿宋"/>
          <w:kern w:val="0"/>
          <w:szCs w:val="32"/>
          <w:lang w:eastAsia="zh-CN"/>
        </w:rPr>
        <w:t>；</w:t>
      </w:r>
      <w:r>
        <w:rPr>
          <w:rFonts w:hint="eastAsia" w:eastAsia="仿宋"/>
          <w:kern w:val="0"/>
          <w:szCs w:val="32"/>
        </w:rPr>
        <w:t>各具体业态经营面积相同的，主体业态以食品安全风险较高的经营项目确定。</w:t>
      </w:r>
    </w:p>
    <w:p w14:paraId="23AF0FA7">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说明：总局办法第十一条第二款规定主体业态以主要经营项目确定，不可以复选。第八款规定具有热、冷、生、固态、液态等多种情形，难以明确归类的食品，可以按照食品安全风险等级最高的情形进行归类。</w:t>
      </w:r>
      <w:r>
        <w:rPr>
          <w:rFonts w:hint="eastAsia" w:ascii="方正楷体_GBK" w:hAnsi="方正楷体_GBK" w:eastAsia="方正楷体_GBK" w:cs="方正楷体_GBK"/>
          <w:bCs/>
          <w:sz w:val="28"/>
          <w:szCs w:val="28"/>
          <w:lang w:eastAsia="zh-CN"/>
        </w:rPr>
        <w:t>现实中存在经营者即经营预包装、散装食品等销售类的食品，又制售食品面包、盒饭、肉串、面食等食品，</w:t>
      </w:r>
      <w:r>
        <w:rPr>
          <w:rFonts w:hint="eastAsia" w:ascii="方正楷体_GBK" w:hAnsi="方正楷体_GBK" w:eastAsia="方正楷体_GBK" w:cs="方正楷体_GBK"/>
          <w:bCs/>
          <w:sz w:val="28"/>
          <w:szCs w:val="28"/>
        </w:rPr>
        <w:t>本款明确主要经营项目一是按面积确定，二是面积相同的情况下，按风险较高的项目确定。</w:t>
      </w:r>
    </w:p>
    <w:p w14:paraId="6E6D3E1C">
      <w:pPr>
        <w:widowControl/>
        <w:spacing w:line="600" w:lineRule="exact"/>
        <w:ind w:firstLine="640"/>
        <w:rPr>
          <w:rFonts w:hint="default" w:ascii="Calibri" w:hAnsi="Calibri" w:eastAsia="仿宋_GB2312" w:cs="Times New Roman"/>
          <w:b w:val="0"/>
          <w:kern w:val="2"/>
          <w:sz w:val="32"/>
          <w:szCs w:val="24"/>
          <w:lang w:val="en-US" w:eastAsia="zh-CN" w:bidi="ar-SA"/>
        </w:rPr>
      </w:pPr>
      <w:r>
        <w:rPr>
          <w:b/>
          <w:kern w:val="0"/>
        </w:rPr>
        <w:t>第五条（销售经营者经营制售类食品）</w:t>
      </w:r>
      <w:r>
        <w:rPr>
          <w:rFonts w:hint="eastAsia"/>
          <w:kern w:val="0"/>
        </w:rPr>
        <w:t xml:space="preserve"> </w:t>
      </w:r>
      <w:r>
        <w:rPr>
          <w:rFonts w:hint="eastAsia" w:cs="Times New Roman"/>
          <w:b w:val="0"/>
          <w:kern w:val="2"/>
          <w:sz w:val="32"/>
          <w:szCs w:val="24"/>
          <w:lang w:val="en-US" w:eastAsia="zh-CN" w:bidi="ar-SA"/>
        </w:rPr>
        <w:t>食品销售经营者将已完全熟制的预包装食品拆封、简单加热提供给消费者的，按散装食品中的散装熟食销售进行许可。</w:t>
      </w:r>
      <w:r>
        <w:rPr>
          <w:rFonts w:hint="eastAsia" w:cs="Times New Roman"/>
          <w:b w:val="0"/>
          <w:kern w:val="2"/>
          <w:sz w:val="32"/>
          <w:szCs w:val="24"/>
          <w:lang w:val="en-US" w:eastAsia="zh-CN" w:bidi="ar-SA"/>
        </w:rPr>
        <w:br w:type="textWrapping"/>
      </w:r>
      <w:r>
        <w:rPr>
          <w:rFonts w:hint="eastAsia" w:cs="Times New Roman"/>
          <w:b w:val="0"/>
          <w:kern w:val="2"/>
          <w:sz w:val="32"/>
          <w:szCs w:val="24"/>
          <w:lang w:val="en-US" w:eastAsia="zh-CN" w:bidi="ar-SA"/>
        </w:rPr>
        <w:t xml:space="preserve">    </w:t>
      </w:r>
      <w:r>
        <w:rPr>
          <w:rFonts w:hint="eastAsia"/>
        </w:rPr>
        <w:t>食品销售经营者</w:t>
      </w:r>
      <w:r>
        <w:rPr>
          <w:rFonts w:hint="eastAsia"/>
          <w:lang w:eastAsia="zh-CN"/>
        </w:rPr>
        <w:t>除主要经营预包装食品、散装食品之外，还提供</w:t>
      </w:r>
      <w:r>
        <w:rPr>
          <w:rFonts w:hint="eastAsia"/>
        </w:rPr>
        <w:t>热食类、冷食类、生食类、自制饮品等</w:t>
      </w:r>
      <w:r>
        <w:rPr>
          <w:rFonts w:hint="eastAsia"/>
          <w:lang w:eastAsia="zh-CN"/>
        </w:rPr>
        <w:t>制售的</w:t>
      </w:r>
      <w:r>
        <w:rPr>
          <w:rFonts w:hint="eastAsia"/>
        </w:rPr>
        <w:t>，应符合相应的</w:t>
      </w:r>
      <w:r>
        <w:rPr>
          <w:rFonts w:hint="eastAsia"/>
          <w:lang w:eastAsia="zh-CN"/>
        </w:rPr>
        <w:t>餐饮服务制售类许可审查</w:t>
      </w:r>
      <w:r>
        <w:rPr>
          <w:rFonts w:hint="eastAsia"/>
        </w:rPr>
        <w:t>要求</w:t>
      </w:r>
      <w:r>
        <w:rPr>
          <w:rFonts w:hint="eastAsia" w:ascii="Calibri" w:hAnsi="Calibri" w:eastAsia="仿宋_GB2312" w:cs="Times New Roman"/>
          <w:b w:val="0"/>
          <w:kern w:val="2"/>
          <w:sz w:val="32"/>
          <w:szCs w:val="24"/>
          <w:lang w:val="en-US" w:eastAsia="zh-CN" w:bidi="ar-SA"/>
        </w:rPr>
        <w:t>，具体经营项目按餐饮服务</w:t>
      </w:r>
      <w:r>
        <w:rPr>
          <w:rFonts w:hint="eastAsia" w:cs="Times New Roman"/>
          <w:b w:val="0"/>
          <w:kern w:val="2"/>
          <w:sz w:val="32"/>
          <w:szCs w:val="24"/>
          <w:lang w:val="en-US" w:eastAsia="zh-CN" w:bidi="ar-SA"/>
        </w:rPr>
        <w:t>对应</w:t>
      </w:r>
      <w:r>
        <w:rPr>
          <w:rFonts w:hint="eastAsia" w:ascii="Calibri" w:hAnsi="Calibri" w:eastAsia="仿宋_GB2312" w:cs="Times New Roman"/>
          <w:b w:val="0"/>
          <w:kern w:val="2"/>
          <w:sz w:val="32"/>
          <w:szCs w:val="24"/>
          <w:lang w:val="en-US" w:eastAsia="zh-CN" w:bidi="ar-SA"/>
        </w:rPr>
        <w:t>的</w:t>
      </w:r>
      <w:r>
        <w:rPr>
          <w:rFonts w:hint="eastAsia" w:eastAsia="仿宋_GB2312" w:cs="Times New Roman"/>
          <w:b w:val="0"/>
          <w:kern w:val="2"/>
          <w:sz w:val="32"/>
          <w:szCs w:val="24"/>
          <w:lang w:val="en-US" w:eastAsia="zh-CN" w:bidi="ar-SA"/>
        </w:rPr>
        <w:t>经营</w:t>
      </w:r>
      <w:r>
        <w:rPr>
          <w:rFonts w:hint="eastAsia" w:ascii="Calibri" w:hAnsi="Calibri" w:eastAsia="仿宋_GB2312" w:cs="Times New Roman"/>
          <w:b w:val="0"/>
          <w:kern w:val="2"/>
          <w:sz w:val="32"/>
          <w:szCs w:val="24"/>
          <w:lang w:val="en-US" w:eastAsia="zh-CN" w:bidi="ar-SA"/>
        </w:rPr>
        <w:t>项目</w:t>
      </w:r>
      <w:r>
        <w:rPr>
          <w:rFonts w:hint="eastAsia" w:cs="Times New Roman"/>
          <w:b w:val="0"/>
          <w:kern w:val="2"/>
          <w:sz w:val="32"/>
          <w:szCs w:val="24"/>
          <w:lang w:val="en-US" w:eastAsia="zh-CN" w:bidi="ar-SA"/>
        </w:rPr>
        <w:t>申请</w:t>
      </w:r>
      <w:r>
        <w:rPr>
          <w:rFonts w:hint="eastAsia" w:ascii="Calibri" w:hAnsi="Calibri" w:eastAsia="仿宋_GB2312" w:cs="Times New Roman"/>
          <w:b w:val="0"/>
          <w:kern w:val="2"/>
          <w:sz w:val="32"/>
          <w:szCs w:val="24"/>
          <w:lang w:val="en-US" w:eastAsia="zh-CN" w:bidi="ar-SA"/>
        </w:rPr>
        <w:t>。</w:t>
      </w:r>
    </w:p>
    <w:p w14:paraId="3D1902D5">
      <w:pPr>
        <w:widowControl/>
        <w:spacing w:line="600" w:lineRule="exact"/>
        <w:ind w:firstLine="640"/>
      </w:pPr>
      <w:r>
        <w:rPr>
          <w:rFonts w:hint="eastAsia" w:eastAsia="仿宋"/>
          <w:b/>
          <w:bCs/>
          <w:kern w:val="0"/>
          <w:szCs w:val="32"/>
        </w:rPr>
        <w:t>第</w:t>
      </w:r>
      <w:r>
        <w:rPr>
          <w:rFonts w:hint="eastAsia" w:eastAsia="仿宋"/>
          <w:b/>
          <w:bCs/>
          <w:kern w:val="0"/>
          <w:szCs w:val="32"/>
          <w:lang w:eastAsia="zh-CN"/>
        </w:rPr>
        <w:t>六</w:t>
      </w:r>
      <w:r>
        <w:rPr>
          <w:rFonts w:hint="eastAsia" w:eastAsia="仿宋"/>
          <w:b/>
          <w:bCs/>
          <w:kern w:val="0"/>
          <w:szCs w:val="32"/>
        </w:rPr>
        <w:t>条（简单制售等经营品种的归类）</w:t>
      </w:r>
      <w:r>
        <w:rPr>
          <w:rFonts w:hint="eastAsia" w:eastAsia="仿宋"/>
          <w:kern w:val="0"/>
          <w:szCs w:val="32"/>
        </w:rPr>
        <w:t xml:space="preserve">  经营者已取得</w:t>
      </w:r>
      <w:r>
        <w:rPr>
          <w:rFonts w:eastAsia="仿宋"/>
          <w:kern w:val="0"/>
          <w:szCs w:val="32"/>
        </w:rPr>
        <w:t>热食类</w:t>
      </w:r>
      <w:r>
        <w:rPr>
          <w:rFonts w:hint="eastAsia" w:eastAsia="仿宋"/>
          <w:kern w:val="0"/>
          <w:szCs w:val="32"/>
        </w:rPr>
        <w:t>、</w:t>
      </w:r>
      <w:r>
        <w:rPr>
          <w:rFonts w:eastAsia="仿宋"/>
          <w:kern w:val="0"/>
          <w:szCs w:val="32"/>
        </w:rPr>
        <w:t>冷食类</w:t>
      </w:r>
      <w:r>
        <w:rPr>
          <w:rFonts w:hint="eastAsia" w:eastAsia="仿宋"/>
          <w:kern w:val="0"/>
          <w:szCs w:val="32"/>
        </w:rPr>
        <w:t>、生食类、自制饮品等制售类其中任何一个经营项目的，</w:t>
      </w:r>
      <w:r>
        <w:rPr>
          <w:rFonts w:hint="eastAsia" w:eastAsia="仿宋"/>
          <w:kern w:val="0"/>
          <w:szCs w:val="32"/>
          <w:u w:val="none"/>
        </w:rPr>
        <w:t>无需</w:t>
      </w:r>
      <w:r>
        <w:rPr>
          <w:rFonts w:hint="eastAsia" w:eastAsia="仿宋"/>
          <w:kern w:val="0"/>
          <w:szCs w:val="32"/>
          <w:u w:val="none"/>
          <w:lang w:eastAsia="zh-CN"/>
        </w:rPr>
        <w:t>在食品经营许可证上标注相应经营项目的</w:t>
      </w:r>
      <w:r>
        <w:rPr>
          <w:rFonts w:hint="eastAsia" w:eastAsia="仿宋"/>
          <w:kern w:val="0"/>
          <w:szCs w:val="32"/>
          <w:u w:val="none"/>
        </w:rPr>
        <w:t>简单制售</w:t>
      </w:r>
      <w:r>
        <w:rPr>
          <w:rFonts w:hint="eastAsia" w:eastAsia="仿宋"/>
          <w:kern w:val="0"/>
          <w:szCs w:val="32"/>
          <w:u w:val="none"/>
          <w:lang w:eastAsia="zh-CN"/>
        </w:rPr>
        <w:t>；申请其他经营项目简单制售的，需在食品经营许可证副本上进行标注</w:t>
      </w:r>
      <w:r>
        <w:rPr>
          <w:rFonts w:hint="eastAsia" w:eastAsia="仿宋"/>
          <w:kern w:val="0"/>
          <w:szCs w:val="32"/>
          <w:u w:val="none"/>
        </w:rPr>
        <w:t>。</w:t>
      </w:r>
    </w:p>
    <w:p w14:paraId="0FCC4E84">
      <w:pPr>
        <w:widowControl/>
        <w:spacing w:line="600" w:lineRule="exact"/>
        <w:ind w:firstLine="640"/>
        <w:rPr>
          <w:rFonts w:hint="eastAsia" w:eastAsia="仿宋"/>
          <w:kern w:val="0"/>
          <w:szCs w:val="32"/>
        </w:rPr>
      </w:pPr>
      <w:r>
        <w:rPr>
          <w:rFonts w:hint="eastAsia" w:eastAsia="仿宋"/>
          <w:kern w:val="0"/>
          <w:szCs w:val="32"/>
        </w:rPr>
        <w:t>制售炒瓜子、炒栗子、爆米花</w:t>
      </w:r>
      <w:r>
        <w:rPr>
          <w:rFonts w:hint="eastAsia" w:eastAsia="仿宋" w:cs="Times New Roman"/>
          <w:kern w:val="0"/>
          <w:szCs w:val="32"/>
          <w:lang w:val="en-US" w:eastAsia="zh-CN"/>
        </w:rPr>
        <w:t>、棉花糖</w:t>
      </w:r>
      <w:r>
        <w:rPr>
          <w:rFonts w:hint="eastAsia" w:eastAsia="仿宋" w:cs="Times New Roman"/>
          <w:kern w:val="0"/>
          <w:szCs w:val="32"/>
        </w:rPr>
        <w:t>等</w:t>
      </w:r>
      <w:r>
        <w:rPr>
          <w:rFonts w:hint="eastAsia" w:eastAsia="仿宋"/>
          <w:kern w:val="0"/>
          <w:szCs w:val="32"/>
        </w:rPr>
        <w:t>食品</w:t>
      </w:r>
      <w:r>
        <w:rPr>
          <w:rFonts w:hint="eastAsia" w:eastAsia="仿宋"/>
          <w:kern w:val="0"/>
          <w:szCs w:val="32"/>
          <w:lang w:eastAsia="zh-CN"/>
        </w:rPr>
        <w:t>按</w:t>
      </w:r>
      <w:r>
        <w:rPr>
          <w:rFonts w:eastAsia="仿宋"/>
          <w:kern w:val="0"/>
          <w:szCs w:val="32"/>
        </w:rPr>
        <w:t>热食类食品制售</w:t>
      </w:r>
      <w:r>
        <w:rPr>
          <w:rFonts w:hint="eastAsia" w:eastAsia="仿宋"/>
          <w:kern w:val="0"/>
          <w:szCs w:val="32"/>
          <w:lang w:eastAsia="zh-CN"/>
        </w:rPr>
        <w:t>进行申请，属于简单制售行为</w:t>
      </w:r>
      <w:r>
        <w:rPr>
          <w:rFonts w:hint="eastAsia" w:eastAsia="仿宋"/>
          <w:kern w:val="0"/>
          <w:szCs w:val="32"/>
        </w:rPr>
        <w:t>。</w:t>
      </w:r>
    </w:p>
    <w:p w14:paraId="2186B47A">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总局办法第十四条规定，食品经营者从事解冻、简单加热、冲调、组合、摆盘、洗切等食品安全风险较低的简单制售的，县级以上地方市场监督管理部门在保证食品安全的前提下，可以适当简化设备设施、专门区域等审查内容。从事生食类食品、冷加工糕点、冷荤类食品等高风险食品制售的不适用前款规定。</w:t>
      </w:r>
      <w:r>
        <w:rPr>
          <w:rFonts w:hint="eastAsia" w:ascii="方正楷体_GBK" w:hAnsi="方正楷体_GBK" w:eastAsia="方正楷体_GBK" w:cs="方正楷体_GBK"/>
          <w:bCs/>
          <w:sz w:val="28"/>
          <w:szCs w:val="28"/>
          <w:lang w:eastAsia="zh-CN"/>
        </w:rPr>
        <w:t>通则第五条第三款规定，食品经营者从事</w:t>
      </w:r>
      <w:r>
        <w:rPr>
          <w:rFonts w:hint="eastAsia" w:ascii="方正楷体_GBK" w:hAnsi="方正楷体_GBK" w:eastAsia="方正楷体_GBK" w:cs="方正楷体_GBK"/>
          <w:bCs/>
          <w:sz w:val="28"/>
          <w:szCs w:val="28"/>
        </w:rPr>
        <w:t>解冻、简单加热、冲调、组合、摆盘、洗切等食品安全风险较低的简单制售的，</w:t>
      </w:r>
      <w:r>
        <w:rPr>
          <w:rFonts w:hint="eastAsia" w:ascii="方正楷体_GBK" w:hAnsi="方正楷体_GBK" w:eastAsia="方正楷体_GBK" w:cs="方正楷体_GBK"/>
          <w:bCs/>
          <w:sz w:val="28"/>
          <w:szCs w:val="28"/>
          <w:lang w:eastAsia="zh-CN"/>
        </w:rPr>
        <w:t>应取得相应的经营项目，并在食品经营许可证副本中标注简单制售。按照风险从高原则，本细则规定取得了相同经营项目许可的，无需标注相应项目的简单制售。</w:t>
      </w:r>
    </w:p>
    <w:p w14:paraId="39391B7E">
      <w:pPr>
        <w:widowControl/>
        <w:spacing w:line="600" w:lineRule="exact"/>
        <w:ind w:firstLine="640"/>
        <w:rPr>
          <w:rFonts w:hint="eastAsia" w:eastAsia="仿宋" w:cs="Times New Roman"/>
          <w:kern w:val="0"/>
          <w:szCs w:val="32"/>
          <w:u w:val="none"/>
        </w:rPr>
      </w:pPr>
      <w:r>
        <w:rPr>
          <w:rFonts w:hint="eastAsia" w:eastAsia="仿宋"/>
          <w:kern w:val="0"/>
          <w:szCs w:val="32"/>
          <w:u w:val="none"/>
        </w:rPr>
        <w:t>各级市场监督管理</w:t>
      </w:r>
      <w:r>
        <w:rPr>
          <w:rFonts w:hint="eastAsia" w:eastAsia="仿宋" w:cs="Times New Roman"/>
          <w:kern w:val="0"/>
          <w:szCs w:val="32"/>
          <w:u w:val="none"/>
        </w:rPr>
        <w:t>部门应鼓励制售生饺子、生云吞、生肉丸、生湿面条、饺子皮</w:t>
      </w:r>
      <w:r>
        <w:rPr>
          <w:rFonts w:hint="eastAsia" w:eastAsia="仿宋" w:cs="Times New Roman"/>
          <w:kern w:val="0"/>
          <w:szCs w:val="32"/>
          <w:u w:val="none"/>
          <w:lang w:val="en-US" w:eastAsia="zh-CN"/>
        </w:rPr>
        <w:t>、豆制品、酿</w:t>
      </w:r>
      <w:r>
        <w:rPr>
          <w:rFonts w:hint="eastAsia" w:eastAsia="仿宋"/>
          <w:kern w:val="0"/>
          <w:szCs w:val="32"/>
          <w:u w:val="none"/>
          <w:lang w:val="en-US" w:eastAsia="zh-CN"/>
        </w:rPr>
        <w:t>茄子、酿豆腐</w:t>
      </w:r>
      <w:r>
        <w:rPr>
          <w:rFonts w:hint="eastAsia" w:eastAsia="仿宋" w:cs="Times New Roman"/>
          <w:kern w:val="0"/>
          <w:szCs w:val="32"/>
          <w:u w:val="none"/>
        </w:rPr>
        <w:t>等</w:t>
      </w:r>
      <w:r>
        <w:rPr>
          <w:rFonts w:hint="eastAsia" w:eastAsia="仿宋"/>
          <w:kern w:val="0"/>
          <w:szCs w:val="32"/>
          <w:u w:val="none"/>
        </w:rPr>
        <w:t>非即</w:t>
      </w:r>
      <w:r>
        <w:rPr>
          <w:rFonts w:hint="eastAsia" w:eastAsia="仿宋"/>
          <w:kern w:val="0"/>
          <w:szCs w:val="32"/>
          <w:u w:val="none"/>
          <w:lang w:eastAsia="zh-CN"/>
        </w:rPr>
        <w:t>食</w:t>
      </w:r>
      <w:r>
        <w:rPr>
          <w:rFonts w:hint="eastAsia" w:eastAsia="仿宋"/>
          <w:kern w:val="0"/>
          <w:szCs w:val="32"/>
          <w:u w:val="none"/>
        </w:rPr>
        <w:t>食品（不含食用农产品）的经营者提升食品加工条件，引导其办理食品生产加工小作坊登记</w:t>
      </w:r>
      <w:r>
        <w:rPr>
          <w:rFonts w:hint="eastAsia" w:eastAsia="仿宋" w:cs="Times New Roman"/>
          <w:kern w:val="0"/>
          <w:szCs w:val="32"/>
          <w:u w:val="none"/>
        </w:rPr>
        <w:t>证。</w:t>
      </w:r>
      <w:r>
        <w:rPr>
          <w:rFonts w:hint="eastAsia" w:eastAsia="仿宋" w:cs="Times New Roman"/>
          <w:kern w:val="0"/>
          <w:szCs w:val="32"/>
          <w:u w:val="none"/>
          <w:lang w:val="en-US" w:eastAsia="zh-CN"/>
        </w:rPr>
        <w:t>前述所列食品纳入当地小作坊禁止加工目录的，按半成品制售申请食品经营许可证</w:t>
      </w:r>
      <w:r>
        <w:rPr>
          <w:rFonts w:hint="eastAsia" w:eastAsia="仿宋" w:cs="Times New Roman"/>
          <w:kern w:val="0"/>
          <w:szCs w:val="32"/>
          <w:u w:val="none"/>
        </w:rPr>
        <w:t>。</w:t>
      </w:r>
    </w:p>
    <w:p w14:paraId="13C47434">
      <w:pPr>
        <w:widowControl/>
        <w:spacing w:line="600" w:lineRule="exact"/>
        <w:ind w:firstLine="640"/>
        <w:rPr>
          <w:u w:val="none"/>
        </w:rPr>
      </w:pPr>
      <w:r>
        <w:rPr>
          <w:rFonts w:hint="eastAsia" w:eastAsia="仿宋"/>
          <w:kern w:val="0"/>
          <w:szCs w:val="32"/>
          <w:u w:val="none"/>
        </w:rPr>
        <w:t>半成品制售仅限</w:t>
      </w:r>
      <w:r>
        <w:rPr>
          <w:rFonts w:hint="eastAsia" w:eastAsia="仿宋"/>
          <w:kern w:val="0"/>
          <w:szCs w:val="32"/>
          <w:u w:val="none"/>
          <w:lang w:eastAsia="zh-CN"/>
        </w:rPr>
        <w:t>本条上</w:t>
      </w:r>
      <w:r>
        <w:rPr>
          <w:rFonts w:hint="eastAsia" w:eastAsia="仿宋"/>
          <w:kern w:val="0"/>
          <w:szCs w:val="32"/>
          <w:u w:val="none"/>
        </w:rPr>
        <w:t>述经营者和中央厨房申请，其他已取得</w:t>
      </w:r>
      <w:r>
        <w:rPr>
          <w:rFonts w:eastAsia="仿宋"/>
          <w:kern w:val="0"/>
          <w:szCs w:val="32"/>
          <w:u w:val="none"/>
        </w:rPr>
        <w:t>热食类</w:t>
      </w:r>
      <w:r>
        <w:rPr>
          <w:rFonts w:hint="eastAsia" w:eastAsia="仿宋"/>
          <w:kern w:val="0"/>
          <w:szCs w:val="32"/>
          <w:u w:val="none"/>
        </w:rPr>
        <w:t>、</w:t>
      </w:r>
      <w:r>
        <w:rPr>
          <w:rFonts w:eastAsia="仿宋"/>
          <w:kern w:val="0"/>
          <w:szCs w:val="32"/>
          <w:u w:val="none"/>
        </w:rPr>
        <w:t>冷食类</w:t>
      </w:r>
      <w:r>
        <w:rPr>
          <w:rFonts w:hint="eastAsia" w:eastAsia="仿宋"/>
          <w:kern w:val="0"/>
          <w:szCs w:val="32"/>
          <w:u w:val="none"/>
        </w:rPr>
        <w:t>、</w:t>
      </w:r>
      <w:r>
        <w:rPr>
          <w:rFonts w:hint="eastAsia" w:eastAsia="仿宋"/>
          <w:kern w:val="0"/>
          <w:szCs w:val="32"/>
          <w:u w:val="none"/>
          <w:lang w:eastAsia="zh-CN"/>
        </w:rPr>
        <w:t>生食类、</w:t>
      </w:r>
      <w:r>
        <w:rPr>
          <w:rFonts w:hint="eastAsia" w:eastAsia="仿宋"/>
          <w:kern w:val="0"/>
          <w:szCs w:val="32"/>
          <w:u w:val="none"/>
        </w:rPr>
        <w:t>自制饮品制</w:t>
      </w:r>
      <w:r>
        <w:rPr>
          <w:rFonts w:hint="eastAsia" w:eastAsia="仿宋" w:cs="Times New Roman"/>
          <w:kern w:val="0"/>
          <w:szCs w:val="32"/>
          <w:u w:val="none"/>
        </w:rPr>
        <w:t>售其中任何一个经营项目的经营者，</w:t>
      </w:r>
      <w:r>
        <w:rPr>
          <w:rFonts w:hint="eastAsia" w:eastAsia="仿宋" w:cs="Times New Roman"/>
          <w:kern w:val="0"/>
          <w:szCs w:val="32"/>
          <w:u w:val="none"/>
          <w:lang w:eastAsia="zh-CN"/>
        </w:rPr>
        <w:t>销售</w:t>
      </w:r>
      <w:r>
        <w:rPr>
          <w:rFonts w:hint="eastAsia" w:eastAsia="仿宋" w:cs="Times New Roman"/>
          <w:kern w:val="0"/>
          <w:szCs w:val="32"/>
          <w:u w:val="none"/>
          <w:lang w:val="en-US" w:eastAsia="zh-CN"/>
        </w:rPr>
        <w:t>已取得许可经营项目的半成品无需另外取得半成品</w:t>
      </w:r>
      <w:r>
        <w:rPr>
          <w:rFonts w:hint="eastAsia" w:eastAsia="仿宋" w:cs="Times New Roman"/>
          <w:kern w:val="0"/>
          <w:szCs w:val="32"/>
          <w:u w:val="none"/>
        </w:rPr>
        <w:t>制售经</w:t>
      </w:r>
      <w:r>
        <w:rPr>
          <w:rFonts w:hint="eastAsia" w:eastAsia="仿宋"/>
          <w:kern w:val="0"/>
          <w:szCs w:val="32"/>
          <w:u w:val="none"/>
        </w:rPr>
        <w:t>营项目。</w:t>
      </w:r>
    </w:p>
    <w:p w14:paraId="2ADE104A">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十四条规定，食品经营者从事解冻、简单加热、冲调、组合、摆盘、洗切等食品安全风险较低的简单制售的，县级以上地方市场监督管理部门在保证食品安全的前提下，可以适当简化设备设施、专门区域等审查内容。从事生食类食品、冷加工糕点、冷荤类食品等高风险食品制售的不适用前款规定。但是总局办法经营项目里没有“简单制售”及许可正本对其标注的规定，按照低风险服从高风险原则，本细则规定简单制售无需另外取得许可。</w:t>
      </w:r>
    </w:p>
    <w:p w14:paraId="2BD04C0B">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现场制售</w:t>
      </w:r>
      <w:r>
        <w:rPr>
          <w:rFonts w:ascii="方正楷体_GBK" w:hAnsi="方正楷体_GBK" w:eastAsia="方正楷体_GBK" w:cs="方正楷体_GBK"/>
          <w:bCs/>
          <w:sz w:val="28"/>
          <w:szCs w:val="28"/>
        </w:rPr>
        <w:t>生</w:t>
      </w:r>
      <w:r>
        <w:rPr>
          <w:rFonts w:hint="eastAsia" w:ascii="方正楷体_GBK" w:hAnsi="方正楷体_GBK" w:eastAsia="方正楷体_GBK" w:cs="方正楷体_GBK"/>
          <w:bCs/>
          <w:sz w:val="28"/>
          <w:szCs w:val="28"/>
        </w:rPr>
        <w:t>面制品</w:t>
      </w:r>
      <w:r>
        <w:rPr>
          <w:rFonts w:ascii="方正楷体_GBK" w:hAnsi="方正楷体_GBK" w:eastAsia="方正楷体_GBK" w:cs="方正楷体_GBK"/>
          <w:bCs/>
          <w:sz w:val="28"/>
          <w:szCs w:val="28"/>
        </w:rPr>
        <w:t>、生肉</w:t>
      </w:r>
      <w:r>
        <w:rPr>
          <w:rFonts w:hint="eastAsia" w:ascii="方正楷体_GBK" w:hAnsi="方正楷体_GBK" w:eastAsia="方正楷体_GBK" w:cs="方正楷体_GBK"/>
          <w:bCs/>
          <w:sz w:val="28"/>
          <w:szCs w:val="28"/>
        </w:rPr>
        <w:t>制品，例如生</w:t>
      </w:r>
      <w:r>
        <w:rPr>
          <w:rFonts w:ascii="方正楷体_GBK" w:hAnsi="方正楷体_GBK" w:eastAsia="方正楷体_GBK" w:cs="方正楷体_GBK"/>
          <w:bCs/>
          <w:sz w:val="28"/>
          <w:szCs w:val="28"/>
        </w:rPr>
        <w:t>饺子、生云吞、</w:t>
      </w:r>
      <w:r>
        <w:rPr>
          <w:rFonts w:hint="eastAsia" w:ascii="方正楷体_GBK" w:hAnsi="方正楷体_GBK" w:eastAsia="方正楷体_GBK" w:cs="方正楷体_GBK"/>
          <w:bCs/>
          <w:sz w:val="28"/>
          <w:szCs w:val="28"/>
        </w:rPr>
        <w:t>生湿面条、</w:t>
      </w:r>
      <w:r>
        <w:rPr>
          <w:rFonts w:ascii="方正楷体_GBK" w:hAnsi="方正楷体_GBK" w:eastAsia="方正楷体_GBK" w:cs="方正楷体_GBK"/>
          <w:bCs/>
          <w:sz w:val="28"/>
          <w:szCs w:val="28"/>
        </w:rPr>
        <w:t>生肉丸</w:t>
      </w:r>
      <w:r>
        <w:rPr>
          <w:rFonts w:hint="eastAsia" w:ascii="方正楷体_GBK" w:hAnsi="方正楷体_GBK" w:eastAsia="方正楷体_GBK" w:cs="方正楷体_GBK"/>
          <w:bCs/>
          <w:sz w:val="28"/>
          <w:szCs w:val="28"/>
        </w:rPr>
        <w:t>、饺子皮</w:t>
      </w:r>
      <w:r>
        <w:rPr>
          <w:rFonts w:ascii="方正楷体_GBK" w:hAnsi="方正楷体_GBK" w:eastAsia="方正楷体_GBK" w:cs="方正楷体_GBK"/>
          <w:bCs/>
          <w:sz w:val="28"/>
          <w:szCs w:val="28"/>
        </w:rPr>
        <w:t>等</w:t>
      </w:r>
      <w:r>
        <w:rPr>
          <w:rFonts w:hint="eastAsia" w:ascii="方正楷体_GBK" w:hAnsi="方正楷体_GBK" w:eastAsia="方正楷体_GBK" w:cs="方正楷体_GBK"/>
          <w:bCs/>
          <w:sz w:val="28"/>
          <w:szCs w:val="28"/>
        </w:rPr>
        <w:t>在广东各地普遍存在，主要在农贸市场的小档口及市场周边档口经营，部分档口制售量很大，类似小作坊，部分</w:t>
      </w:r>
      <w:r>
        <w:rPr>
          <w:rFonts w:hint="eastAsia" w:ascii="方正楷体_GBK" w:hAnsi="方正楷体_GBK" w:eastAsia="方正楷体_GBK" w:cs="方正楷体_GBK"/>
          <w:bCs/>
          <w:sz w:val="28"/>
          <w:szCs w:val="28"/>
          <w:lang w:eastAsia="zh-CN"/>
        </w:rPr>
        <w:t>品牌已</w:t>
      </w:r>
      <w:r>
        <w:rPr>
          <w:rFonts w:hint="eastAsia" w:ascii="方正楷体_GBK" w:hAnsi="方正楷体_GBK" w:eastAsia="方正楷体_GBK" w:cs="方正楷体_GBK"/>
          <w:bCs/>
          <w:sz w:val="28"/>
          <w:szCs w:val="28"/>
        </w:rPr>
        <w:t>规模化、连锁化经营。</w:t>
      </w:r>
    </w:p>
    <w:p w14:paraId="6E2B4E6A">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我</w:t>
      </w:r>
      <w:r>
        <w:rPr>
          <w:rFonts w:hint="eastAsia" w:ascii="方正楷体_GBK" w:hAnsi="方正楷体_GBK" w:eastAsia="方正楷体_GBK" w:cs="方正楷体_GBK"/>
          <w:bCs/>
          <w:sz w:val="28"/>
          <w:szCs w:val="28"/>
          <w:lang w:eastAsia="zh-CN"/>
        </w:rPr>
        <w:t>局</w:t>
      </w:r>
      <w:r>
        <w:rPr>
          <w:rFonts w:hint="eastAsia" w:ascii="方正楷体_GBK" w:hAnsi="方正楷体_GBK" w:eastAsia="方正楷体_GBK" w:cs="方正楷体_GBK"/>
          <w:bCs/>
          <w:sz w:val="28"/>
          <w:szCs w:val="28"/>
        </w:rPr>
        <w:t>考虑，符合小作坊条件的，由各地引导其办理小作坊登记证，不符合小作坊条件的，为了民生需要，目前按食品经营进行许可，因其无法归入食品制售类中的其他类别，</w:t>
      </w:r>
      <w:r>
        <w:rPr>
          <w:rFonts w:hint="eastAsia" w:ascii="方正楷体_GBK" w:hAnsi="方正楷体_GBK" w:eastAsia="方正楷体_GBK" w:cs="方正楷体_GBK"/>
          <w:bCs/>
          <w:sz w:val="28"/>
          <w:szCs w:val="28"/>
          <w:lang w:eastAsia="zh-CN"/>
        </w:rPr>
        <w:t>借用半成品的表述，</w:t>
      </w:r>
      <w:r>
        <w:rPr>
          <w:rFonts w:hint="eastAsia" w:ascii="方正楷体_GBK" w:hAnsi="方正楷体_GBK" w:eastAsia="方正楷体_GBK" w:cs="方正楷体_GBK"/>
          <w:bCs/>
          <w:sz w:val="28"/>
          <w:szCs w:val="28"/>
        </w:rPr>
        <w:t>将其归入半成品制售。</w:t>
      </w:r>
    </w:p>
    <w:p w14:paraId="4BC9E15D">
      <w:pPr>
        <w:widowControl/>
        <w:spacing w:line="600" w:lineRule="exact"/>
        <w:ind w:firstLine="640"/>
        <w:rPr>
          <w:rFonts w:hint="eastAsia" w:cs="Times New Roman"/>
          <w:b w:val="0"/>
          <w:kern w:val="2"/>
          <w:sz w:val="32"/>
          <w:szCs w:val="24"/>
          <w:lang w:val="en-US" w:eastAsia="zh-CN" w:bidi="ar-SA"/>
        </w:rPr>
      </w:pPr>
      <w:r>
        <w:rPr>
          <w:rFonts w:hint="eastAsia" w:cs="Times New Roman"/>
          <w:b/>
          <w:bCs/>
          <w:kern w:val="2"/>
          <w:sz w:val="32"/>
          <w:szCs w:val="24"/>
          <w:lang w:val="en-US" w:eastAsia="zh-CN" w:bidi="ar-SA"/>
        </w:rPr>
        <w:t>第七条（经营场所）</w:t>
      </w:r>
      <w:r>
        <w:rPr>
          <w:rFonts w:hint="eastAsia" w:cs="Times New Roman"/>
          <w:b w:val="0"/>
          <w:kern w:val="2"/>
          <w:sz w:val="32"/>
          <w:szCs w:val="24"/>
          <w:lang w:val="en-US" w:eastAsia="zh-CN" w:bidi="ar-SA"/>
        </w:rPr>
        <w:t>　食品经营者在不同经营场所从事食品经营活动，应当依法分别取得食品经营许可或者进行备案，经营场所地址应当与主体资格证明文件所载明的地址一致或在营业执照载明、备案住所场所地址范围内。</w:t>
      </w:r>
    </w:p>
    <w:p w14:paraId="0AB20317">
      <w:pPr>
        <w:widowControl/>
        <w:spacing w:line="600" w:lineRule="exact"/>
        <w:ind w:firstLine="640"/>
        <w:rPr>
          <w:rFonts w:hint="eastAsia" w:cs="Times New Roman"/>
          <w:b w:val="0"/>
          <w:kern w:val="2"/>
          <w:sz w:val="32"/>
          <w:szCs w:val="24"/>
          <w:lang w:val="en-US" w:eastAsia="zh-CN" w:bidi="ar-SA"/>
        </w:rPr>
      </w:pPr>
      <w:r>
        <w:rPr>
          <w:rFonts w:hint="eastAsia" w:cs="Times New Roman"/>
          <w:b w:val="0"/>
          <w:kern w:val="2"/>
          <w:sz w:val="32"/>
          <w:szCs w:val="24"/>
          <w:lang w:val="en-US" w:eastAsia="zh-CN" w:bidi="ar-SA"/>
        </w:rPr>
        <w:t>集中用餐单位申办食堂，经营场所地址与主体资格证明文件所载明的地址不一致或未在载明、备案的经营场所地址范围内的，出具场所使用说明确认的地址可以作为经营场所。</w:t>
      </w:r>
    </w:p>
    <w:p w14:paraId="3013229B">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w:t>
      </w:r>
      <w:r>
        <w:rPr>
          <w:rFonts w:hint="eastAsia" w:ascii="方正楷体_GBK" w:hAnsi="方正楷体_GBK" w:eastAsia="方正楷体_GBK" w:cs="方正楷体_GBK"/>
          <w:bCs/>
          <w:sz w:val="28"/>
          <w:szCs w:val="28"/>
          <w:lang w:eastAsia="zh-CN"/>
        </w:rPr>
        <w:t>：总局办法第七条规定：食品经营者在不同经营场所从事食品经营活动的，应当依法分别取得食品经营许可或者进行备案。</w:t>
      </w:r>
    </w:p>
    <w:p w14:paraId="6BBA8A30">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lang w:eastAsia="zh-CN"/>
        </w:rPr>
        <w:t>本条第一款是为了落实总局先照后证要求，食品经营许可的经营场所地址应与执照地址保持一致。第二款是考虑实际存在企业异地经营的特殊情况，例如地铁工地食堂。</w:t>
      </w:r>
    </w:p>
    <w:p w14:paraId="32F1DFA1">
      <w:pPr>
        <w:widowControl/>
        <w:spacing w:line="600" w:lineRule="exact"/>
        <w:ind w:firstLine="640"/>
        <w:rPr>
          <w:rFonts w:hint="eastAsia" w:cs="Times New Roman"/>
          <w:b w:val="0"/>
          <w:kern w:val="2"/>
          <w:sz w:val="32"/>
          <w:szCs w:val="24"/>
          <w:lang w:val="en-US" w:eastAsia="zh-CN" w:bidi="ar-SA"/>
        </w:rPr>
      </w:pPr>
      <w:r>
        <w:rPr>
          <w:rFonts w:hint="eastAsia" w:cs="Times New Roman"/>
          <w:b/>
          <w:bCs/>
          <w:kern w:val="2"/>
          <w:sz w:val="32"/>
          <w:szCs w:val="24"/>
          <w:lang w:val="en-US" w:eastAsia="zh-CN" w:bidi="ar-SA"/>
        </w:rPr>
        <w:t>第八条（集中用餐单位食堂承包企业能力）</w:t>
      </w:r>
      <w:r>
        <w:rPr>
          <w:rFonts w:hint="eastAsia" w:cs="Times New Roman"/>
          <w:b w:val="0"/>
          <w:kern w:val="2"/>
          <w:sz w:val="32"/>
          <w:szCs w:val="24"/>
          <w:lang w:val="en-US" w:eastAsia="zh-CN" w:bidi="ar-SA"/>
        </w:rPr>
        <w:t xml:space="preserve"> 承包经营集中用餐单位食堂的企业，需在本省取得经营项目含有餐饮服务管理的食品经营许可。集中用餐单位应对承包经营企业的经营规模和食品安全风险能力是否与本单位食堂的经营面积、经营项目、供餐人数等相匹配进行审核。</w:t>
      </w:r>
    </w:p>
    <w:p w14:paraId="2FA491C5">
      <w:pPr>
        <w:widowControl/>
        <w:spacing w:line="500" w:lineRule="exact"/>
        <w:ind w:firstLine="561"/>
        <w:rPr>
          <w:rFonts w:hint="default"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lang w:eastAsia="zh-CN"/>
        </w:rPr>
        <w:t>说明：通则第四十三条规定：承包经营企业应在集中用餐单位食堂所在地取得食品经营许可。承包经营企业的经营规模和食品安全风险防控能力应与拟承包食堂的经营面积、经营项目、供餐人数等相匹配。同时通则第五章第二节规定了餐饮服务管理企业的许可审查要求，第二章第五节规定单位食堂的许可审查要求，第六节规定单位食堂承包经营的许可审查要求。本细则的规定意为凡是取得“</w:t>
      </w:r>
      <w:r>
        <w:rPr>
          <w:rFonts w:hint="eastAsia" w:ascii="方正楷体_GBK" w:hAnsi="方正楷体_GBK" w:eastAsia="方正楷体_GBK" w:cs="方正楷体_GBK"/>
          <w:bCs/>
          <w:sz w:val="28"/>
          <w:szCs w:val="28"/>
          <w:lang w:val="en-US" w:eastAsia="zh-CN"/>
        </w:rPr>
        <w:t>餐饮服务管理”经营项目的企业均有承包食堂的资质，具体资格是否与发包食堂相匹配，由发包单位进行把关；市场监管部门对单位食堂及承包经营食堂进行食品经营许可审查。</w:t>
      </w:r>
    </w:p>
    <w:p w14:paraId="204AB3BF">
      <w:pPr>
        <w:numPr>
          <w:ilvl w:val="0"/>
          <w:numId w:val="0"/>
        </w:numPr>
        <w:spacing w:line="560" w:lineRule="exact"/>
        <w:ind w:firstLine="643" w:firstLineChars="200"/>
        <w:rPr>
          <w:rFonts w:hint="default" w:eastAsia="仿宋"/>
          <w:b w:val="0"/>
          <w:bCs w:val="0"/>
          <w:kern w:val="0"/>
          <w:szCs w:val="32"/>
          <w:u w:val="none"/>
          <w:lang w:val="en-US" w:eastAsia="zh-CN"/>
        </w:rPr>
      </w:pPr>
      <w:r>
        <w:rPr>
          <w:rFonts w:hint="eastAsia" w:eastAsia="仿宋"/>
          <w:b/>
          <w:bCs/>
          <w:kern w:val="0"/>
          <w:szCs w:val="32"/>
          <w:u w:val="none"/>
          <w:lang w:val="en-US" w:eastAsia="zh-CN"/>
        </w:rPr>
        <w:t>第九条（</w:t>
      </w:r>
      <w:r>
        <w:rPr>
          <w:rFonts w:hint="eastAsia" w:cs="Times New Roman"/>
          <w:b/>
          <w:bCs/>
          <w:kern w:val="2"/>
          <w:sz w:val="32"/>
          <w:szCs w:val="24"/>
          <w:u w:val="none"/>
          <w:lang w:val="en-US" w:eastAsia="zh-CN" w:bidi="ar-SA"/>
        </w:rPr>
        <w:t xml:space="preserve">集中用餐单位食堂变更经营形式）  </w:t>
      </w:r>
      <w:r>
        <w:rPr>
          <w:rFonts w:hint="eastAsia" w:cs="Times New Roman"/>
          <w:b w:val="0"/>
          <w:bCs w:val="0"/>
          <w:kern w:val="2"/>
          <w:sz w:val="32"/>
          <w:szCs w:val="24"/>
          <w:u w:val="none"/>
          <w:lang w:val="en-US" w:eastAsia="zh-CN" w:bidi="ar-SA"/>
        </w:rPr>
        <w:t>集中用餐单位食堂变更经营形式包含自营改为承包经营、承包经营改为自营、承包经营企业发生变化等三种形式。</w:t>
      </w:r>
    </w:p>
    <w:p w14:paraId="188811F7">
      <w:pPr>
        <w:widowControl/>
        <w:spacing w:line="500" w:lineRule="exact"/>
        <w:ind w:firstLine="561"/>
        <w:rPr>
          <w:rFonts w:hint="default"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lang w:val="en-US" w:eastAsia="zh-CN"/>
        </w:rPr>
        <w:t>说明：通则第四十二条列举了自营改为承包经营、承包经营企业发生变化两种经营形式变更的形式，现实中还存在承包经营改为自营的形式，为便于经营者办理经营变更，指导基层开展许可工作，补充规定第三种形式。</w:t>
      </w:r>
    </w:p>
    <w:p w14:paraId="4D98806B">
      <w:pPr>
        <w:numPr>
          <w:ilvl w:val="0"/>
          <w:numId w:val="0"/>
        </w:numPr>
        <w:spacing w:line="560" w:lineRule="exact"/>
        <w:ind w:firstLine="643" w:firstLineChars="200"/>
        <w:rPr>
          <w:rFonts w:hint="eastAsia" w:eastAsia="仿宋"/>
          <w:kern w:val="0"/>
          <w:szCs w:val="32"/>
          <w:lang w:val="en-US" w:eastAsia="zh-CN"/>
        </w:rPr>
      </w:pPr>
      <w:r>
        <w:rPr>
          <w:rFonts w:hint="eastAsia" w:eastAsia="仿宋"/>
          <w:b/>
          <w:bCs/>
          <w:kern w:val="0"/>
          <w:szCs w:val="32"/>
          <w:u w:val="none"/>
          <w:lang w:val="en-US" w:eastAsia="zh-CN"/>
        </w:rPr>
        <w:t>第十条（平面图）</w:t>
      </w:r>
      <w:r>
        <w:rPr>
          <w:rFonts w:hint="eastAsia" w:eastAsia="仿宋"/>
          <w:color w:val="FF0000"/>
          <w:kern w:val="0"/>
          <w:szCs w:val="32"/>
          <w:lang w:val="en-US" w:eastAsia="zh-CN"/>
        </w:rPr>
        <w:t xml:space="preserve"> </w:t>
      </w:r>
      <w:r>
        <w:rPr>
          <w:rFonts w:hint="eastAsia" w:eastAsia="仿宋"/>
          <w:kern w:val="0"/>
          <w:szCs w:val="32"/>
          <w:lang w:val="en-US" w:eastAsia="zh-CN"/>
        </w:rPr>
        <w:t>申请含制售类经营项目的经营者应提交与食品经营相适应的主要设备设施、经营布局、操作流程平面图。</w:t>
      </w:r>
    </w:p>
    <w:p w14:paraId="428D3A06">
      <w:pPr>
        <w:numPr>
          <w:ilvl w:val="0"/>
          <w:numId w:val="0"/>
        </w:numPr>
        <w:spacing w:line="560" w:lineRule="exact"/>
        <w:ind w:firstLine="640" w:firstLineChars="200"/>
        <w:rPr>
          <w:rFonts w:hint="eastAsia" w:eastAsia="仿宋"/>
          <w:kern w:val="0"/>
          <w:szCs w:val="32"/>
          <w:lang w:val="en-US" w:eastAsia="zh-CN"/>
        </w:rPr>
      </w:pPr>
      <w:r>
        <w:rPr>
          <w:rFonts w:hint="eastAsia" w:eastAsia="仿宋"/>
          <w:kern w:val="0"/>
          <w:szCs w:val="32"/>
          <w:lang w:val="en-US" w:eastAsia="zh-CN"/>
        </w:rPr>
        <w:t>申请销售类经营项目的经营者应提交主要设备设施、经营布局平面图。</w:t>
      </w:r>
    </w:p>
    <w:p w14:paraId="42FFBB08">
      <w:pPr>
        <w:numPr>
          <w:ilvl w:val="0"/>
          <w:numId w:val="0"/>
        </w:numPr>
        <w:spacing w:line="560" w:lineRule="exact"/>
        <w:ind w:firstLine="640" w:firstLineChars="200"/>
        <w:rPr>
          <w:rFonts w:hint="default" w:eastAsia="仿宋"/>
          <w:kern w:val="0"/>
          <w:szCs w:val="32"/>
          <w:lang w:val="en-US" w:eastAsia="zh-CN"/>
        </w:rPr>
      </w:pPr>
      <w:r>
        <w:rPr>
          <w:rFonts w:hint="eastAsia" w:eastAsia="仿宋"/>
          <w:kern w:val="0"/>
          <w:szCs w:val="32"/>
          <w:lang w:val="en-US" w:eastAsia="zh-CN"/>
        </w:rPr>
        <w:t>平面图应标明各区域或功能间用途、实际面积（或尺寸）、主要设施设备位置等内容。平面图应按比例绘制，比例尺寸基本合理。</w:t>
      </w:r>
    </w:p>
    <w:p w14:paraId="2F602AF6">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lang w:val="en-US" w:eastAsia="zh-CN"/>
        </w:rPr>
        <w:t>说明：总局办法第十三条第一款（三）规定，申请食品经营许可，应当提交与食品经营相适应的主要设备设施、经营布局、操作流程等文件。第三款规定，仅从事食品销售类经营项目的不需要提供操作流程。本条对该文件作出说明。</w:t>
      </w:r>
    </w:p>
    <w:p w14:paraId="248A6C95">
      <w:pPr>
        <w:spacing w:line="600" w:lineRule="exact"/>
        <w:ind w:firstLine="643" w:firstLineChars="200"/>
        <w:rPr>
          <w:rFonts w:hint="eastAsia" w:eastAsia="仿宋"/>
          <w:kern w:val="0"/>
          <w:szCs w:val="32"/>
        </w:rPr>
      </w:pPr>
      <w:r>
        <w:rPr>
          <w:rFonts w:eastAsia="仿宋"/>
          <w:b/>
          <w:bCs/>
          <w:kern w:val="0"/>
          <w:szCs w:val="32"/>
        </w:rPr>
        <w:t>第</w:t>
      </w:r>
      <w:r>
        <w:rPr>
          <w:rFonts w:hint="eastAsia" w:eastAsia="仿宋"/>
          <w:b/>
          <w:bCs/>
          <w:kern w:val="0"/>
          <w:szCs w:val="32"/>
          <w:lang w:eastAsia="zh-CN"/>
        </w:rPr>
        <w:t>十一</w:t>
      </w:r>
      <w:r>
        <w:rPr>
          <w:rFonts w:eastAsia="仿宋"/>
          <w:b/>
          <w:bCs/>
          <w:kern w:val="0"/>
          <w:szCs w:val="32"/>
        </w:rPr>
        <w:t>条</w:t>
      </w:r>
      <w:r>
        <w:rPr>
          <w:rFonts w:hint="eastAsia" w:eastAsia="仿宋"/>
          <w:b/>
          <w:bCs/>
          <w:kern w:val="0"/>
          <w:szCs w:val="32"/>
        </w:rPr>
        <w:t>（</w:t>
      </w:r>
      <w:r>
        <w:rPr>
          <w:rFonts w:hint="eastAsia" w:eastAsia="仿宋"/>
          <w:b/>
          <w:bCs/>
          <w:kern w:val="0"/>
          <w:szCs w:val="32"/>
          <w:lang w:eastAsia="zh-CN"/>
        </w:rPr>
        <w:t>许可</w:t>
      </w:r>
      <w:r>
        <w:rPr>
          <w:rFonts w:hint="eastAsia" w:eastAsia="仿宋"/>
          <w:b/>
          <w:bCs/>
          <w:kern w:val="0"/>
          <w:szCs w:val="32"/>
        </w:rPr>
        <w:t>审查）</w:t>
      </w:r>
      <w:r>
        <w:rPr>
          <w:rFonts w:eastAsia="仿宋"/>
          <w:kern w:val="0"/>
          <w:szCs w:val="32"/>
        </w:rPr>
        <w:t>　食品经营许可审查包括对申请材料的书面审查和</w:t>
      </w:r>
      <w:r>
        <w:rPr>
          <w:rFonts w:hint="eastAsia" w:eastAsia="仿宋"/>
          <w:kern w:val="0"/>
          <w:szCs w:val="32"/>
        </w:rPr>
        <w:t>对</w:t>
      </w:r>
      <w:r>
        <w:rPr>
          <w:rFonts w:eastAsia="仿宋"/>
          <w:kern w:val="0"/>
          <w:szCs w:val="32"/>
        </w:rPr>
        <w:t>经营场所的现场核查。</w:t>
      </w:r>
      <w:r>
        <w:rPr>
          <w:rFonts w:hint="eastAsia" w:eastAsia="仿宋"/>
          <w:kern w:val="0"/>
          <w:szCs w:val="32"/>
        </w:rPr>
        <w:t>需要对申请材料的实质内容进行核实的，应当进行现场核查。不需要进行现场核查的，</w:t>
      </w:r>
      <w:r>
        <w:rPr>
          <w:rFonts w:hint="eastAsia" w:eastAsia="仿宋"/>
          <w:kern w:val="0"/>
          <w:szCs w:val="32"/>
          <w:lang w:eastAsia="zh-CN"/>
        </w:rPr>
        <w:t>申请</w:t>
      </w:r>
      <w:r>
        <w:rPr>
          <w:rFonts w:hint="eastAsia" w:eastAsia="仿宋"/>
          <w:kern w:val="0"/>
          <w:szCs w:val="32"/>
        </w:rPr>
        <w:t>材料齐全、符合法定形式的，即可发放食品经营许可证。</w:t>
      </w:r>
    </w:p>
    <w:p w14:paraId="54D3B16A">
      <w:pPr>
        <w:widowControl/>
        <w:spacing w:line="500" w:lineRule="exact"/>
        <w:ind w:firstLine="561"/>
        <w:rPr>
          <w:rFonts w:hint="eastAsia"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lang w:val="en-US" w:eastAsia="zh-CN"/>
        </w:rPr>
        <w:t>说明：《食品安全法》第三十五条规定必要时进行现场核查。总局《办法》第20条规定，需要对申请材料的实质内容进行核实的，应当进行现场核查。</w:t>
      </w:r>
    </w:p>
    <w:p w14:paraId="6831A575">
      <w:pPr>
        <w:spacing w:line="560" w:lineRule="exact"/>
        <w:ind w:firstLine="643" w:firstLineChars="200"/>
        <w:rPr>
          <w:rFonts w:hint="eastAsia" w:eastAsia="仿宋"/>
          <w:kern w:val="0"/>
          <w:szCs w:val="32"/>
        </w:rPr>
      </w:pPr>
      <w:r>
        <w:rPr>
          <w:rFonts w:hint="eastAsia" w:eastAsia="仿宋"/>
          <w:b/>
          <w:bCs/>
          <w:kern w:val="0"/>
          <w:szCs w:val="32"/>
        </w:rPr>
        <w:t>第十</w:t>
      </w:r>
      <w:r>
        <w:rPr>
          <w:rFonts w:hint="eastAsia" w:eastAsia="仿宋"/>
          <w:b/>
          <w:bCs/>
          <w:kern w:val="0"/>
          <w:szCs w:val="32"/>
          <w:lang w:eastAsia="zh-CN"/>
        </w:rPr>
        <w:t>二</w:t>
      </w:r>
      <w:r>
        <w:rPr>
          <w:rFonts w:hint="eastAsia" w:eastAsia="仿宋"/>
          <w:b/>
          <w:bCs/>
          <w:kern w:val="0"/>
          <w:szCs w:val="32"/>
        </w:rPr>
        <w:t>条（</w:t>
      </w:r>
      <w:r>
        <w:rPr>
          <w:rFonts w:hint="eastAsia" w:eastAsia="仿宋"/>
          <w:b/>
          <w:bCs/>
          <w:kern w:val="0"/>
          <w:szCs w:val="32"/>
          <w:lang w:eastAsia="zh-CN"/>
        </w:rPr>
        <w:t>免于</w:t>
      </w:r>
      <w:r>
        <w:rPr>
          <w:rFonts w:hint="eastAsia" w:eastAsia="仿宋"/>
          <w:b/>
          <w:bCs/>
          <w:kern w:val="0"/>
          <w:szCs w:val="32"/>
        </w:rPr>
        <w:t>现场核查</w:t>
      </w:r>
      <w:r>
        <w:rPr>
          <w:rFonts w:hint="eastAsia" w:eastAsia="仿宋"/>
          <w:b/>
          <w:bCs/>
          <w:kern w:val="0"/>
          <w:szCs w:val="32"/>
          <w:lang w:eastAsia="zh-CN"/>
        </w:rPr>
        <w:t>情形</w:t>
      </w:r>
      <w:r>
        <w:rPr>
          <w:rFonts w:hint="eastAsia" w:eastAsia="仿宋"/>
          <w:b/>
          <w:bCs/>
          <w:kern w:val="0"/>
          <w:szCs w:val="32"/>
        </w:rPr>
        <w:t>）</w:t>
      </w:r>
      <w:r>
        <w:rPr>
          <w:rFonts w:hint="eastAsia" w:eastAsia="仿宋"/>
          <w:kern w:val="0"/>
          <w:szCs w:val="32"/>
        </w:rPr>
        <w:t xml:space="preserve">  以下申请可免于现场核查：</w:t>
      </w:r>
    </w:p>
    <w:p w14:paraId="3C153A34">
      <w:pPr>
        <w:numPr>
          <w:ilvl w:val="0"/>
          <w:numId w:val="1"/>
        </w:numPr>
        <w:spacing w:line="560" w:lineRule="exact"/>
        <w:ind w:firstLine="640" w:firstLineChars="200"/>
        <w:rPr>
          <w:rFonts w:hint="eastAsia" w:eastAsia="仿宋"/>
          <w:kern w:val="0"/>
          <w:szCs w:val="32"/>
        </w:rPr>
      </w:pPr>
      <w:r>
        <w:rPr>
          <w:rFonts w:hint="eastAsia" w:eastAsia="仿宋"/>
          <w:kern w:val="0"/>
          <w:szCs w:val="32"/>
          <w:u w:val="none"/>
        </w:rPr>
        <w:t>新申请</w:t>
      </w:r>
      <w:r>
        <w:rPr>
          <w:rFonts w:hint="eastAsia" w:eastAsia="仿宋"/>
          <w:kern w:val="0"/>
          <w:szCs w:val="32"/>
          <w:lang w:eastAsia="zh-CN"/>
        </w:rPr>
        <w:t>或变更</w:t>
      </w:r>
      <w:r>
        <w:rPr>
          <w:rFonts w:hint="eastAsia" w:eastAsia="仿宋"/>
          <w:kern w:val="0"/>
          <w:szCs w:val="32"/>
        </w:rPr>
        <w:t>食品经营项目</w:t>
      </w:r>
      <w:r>
        <w:rPr>
          <w:rFonts w:hint="eastAsia" w:eastAsia="仿宋"/>
          <w:b w:val="0"/>
          <w:bCs w:val="0"/>
          <w:kern w:val="0"/>
          <w:szCs w:val="32"/>
          <w:u w:val="none"/>
        </w:rPr>
        <w:t>为食品经营管理</w:t>
      </w:r>
      <w:r>
        <w:rPr>
          <w:rFonts w:hint="eastAsia" w:eastAsia="仿宋"/>
          <w:kern w:val="0"/>
          <w:szCs w:val="32"/>
        </w:rPr>
        <w:t>的；</w:t>
      </w:r>
    </w:p>
    <w:p w14:paraId="71D9F2CA">
      <w:pPr>
        <w:numPr>
          <w:ilvl w:val="0"/>
          <w:numId w:val="1"/>
        </w:numPr>
        <w:spacing w:line="560" w:lineRule="exact"/>
        <w:ind w:firstLine="640" w:firstLineChars="200"/>
        <w:rPr>
          <w:rFonts w:hint="eastAsia" w:ascii="华文仿宋" w:hAnsi="华文仿宋" w:eastAsia="华文仿宋" w:cs="宋体"/>
          <w:color w:val="333333"/>
          <w:kern w:val="0"/>
          <w:szCs w:val="32"/>
        </w:rPr>
      </w:pPr>
      <w:r>
        <w:rPr>
          <w:rFonts w:hint="eastAsia" w:eastAsia="仿宋" w:cs="Times New Roman"/>
          <w:kern w:val="0"/>
          <w:szCs w:val="32"/>
        </w:rPr>
        <w:t>食品贸易商</w:t>
      </w:r>
      <w:r>
        <w:rPr>
          <w:rFonts w:hint="eastAsia" w:eastAsia="仿宋" w:cs="Times New Roman"/>
          <w:kern w:val="0"/>
          <w:szCs w:val="32"/>
          <w:lang w:eastAsia="zh-CN"/>
        </w:rPr>
        <w:t>、仅通过互联网经营等无</w:t>
      </w:r>
      <w:r>
        <w:rPr>
          <w:rFonts w:hint="eastAsia" w:eastAsia="仿宋"/>
          <w:kern w:val="0"/>
          <w:szCs w:val="32"/>
          <w:lang w:eastAsia="zh-CN"/>
        </w:rPr>
        <w:t>实体门店经营者</w:t>
      </w:r>
      <w:r>
        <w:rPr>
          <w:rFonts w:hint="eastAsia" w:eastAsia="仿宋"/>
          <w:kern w:val="0"/>
          <w:szCs w:val="32"/>
        </w:rPr>
        <w:t>新申请</w:t>
      </w:r>
      <w:r>
        <w:rPr>
          <w:rFonts w:hint="eastAsia" w:eastAsia="仿宋"/>
          <w:kern w:val="0"/>
          <w:szCs w:val="32"/>
          <w:lang w:eastAsia="zh-CN"/>
        </w:rPr>
        <w:t>的；</w:t>
      </w:r>
    </w:p>
    <w:p w14:paraId="52360EE6">
      <w:pPr>
        <w:numPr>
          <w:ilvl w:val="0"/>
          <w:numId w:val="1"/>
        </w:numPr>
        <w:spacing w:line="560" w:lineRule="exact"/>
        <w:ind w:firstLine="640" w:firstLineChars="200"/>
        <w:rPr>
          <w:rFonts w:hint="eastAsia" w:eastAsia="仿宋" w:cs="Times New Roman"/>
          <w:kern w:val="0"/>
          <w:szCs w:val="32"/>
        </w:rPr>
      </w:pPr>
      <w:r>
        <w:rPr>
          <w:rFonts w:hint="eastAsia" w:eastAsia="仿宋" w:cs="Times New Roman"/>
          <w:kern w:val="0"/>
          <w:szCs w:val="32"/>
        </w:rPr>
        <w:t>变更经营者名称、法定代表人（负责人）、住所或经营场所地址门牌号（实际经营场所未改变）等即时办理的；</w:t>
      </w:r>
    </w:p>
    <w:p w14:paraId="4184B189">
      <w:pPr>
        <w:pStyle w:val="2"/>
        <w:numPr>
          <w:ilvl w:val="0"/>
          <w:numId w:val="1"/>
        </w:numPr>
        <w:ind w:left="0" w:leftChars="0" w:firstLine="640" w:firstLineChars="200"/>
        <w:rPr>
          <w:rFonts w:hint="eastAsia" w:ascii="Calibri" w:hAnsi="Calibri" w:eastAsia="仿宋" w:cs="Times New Roman"/>
          <w:b w:val="0"/>
          <w:kern w:val="0"/>
          <w:sz w:val="32"/>
          <w:szCs w:val="32"/>
          <w:lang w:val="en-US" w:eastAsia="zh-CN" w:bidi="ar-SA"/>
        </w:rPr>
      </w:pPr>
      <w:r>
        <w:rPr>
          <w:rFonts w:hint="eastAsia" w:ascii="Calibri" w:hAnsi="Calibri" w:eastAsia="仿宋" w:cs="Times New Roman"/>
          <w:b w:val="0"/>
          <w:kern w:val="0"/>
          <w:sz w:val="32"/>
          <w:szCs w:val="32"/>
          <w:lang w:val="en-US" w:eastAsia="zh-CN" w:bidi="ar-SA"/>
        </w:rPr>
        <w:t>经营项目减项的</w:t>
      </w:r>
      <w:r>
        <w:rPr>
          <w:rFonts w:hint="eastAsia" w:eastAsia="仿宋" w:cs="Times New Roman"/>
          <w:b w:val="0"/>
          <w:kern w:val="0"/>
          <w:sz w:val="32"/>
          <w:szCs w:val="32"/>
          <w:lang w:val="en-US" w:eastAsia="zh-CN" w:bidi="ar-SA"/>
        </w:rPr>
        <w:t>；</w:t>
      </w:r>
    </w:p>
    <w:p w14:paraId="29CCFF4D">
      <w:pPr>
        <w:numPr>
          <w:ilvl w:val="0"/>
          <w:numId w:val="1"/>
        </w:numPr>
        <w:spacing w:line="560" w:lineRule="exact"/>
        <w:ind w:left="0" w:leftChars="0" w:firstLine="640" w:firstLineChars="200"/>
        <w:rPr>
          <w:rFonts w:hint="eastAsia"/>
          <w:bCs/>
        </w:rPr>
      </w:pPr>
      <w:r>
        <w:rPr>
          <w:rFonts w:hint="eastAsia" w:eastAsia="仿宋"/>
          <w:kern w:val="0"/>
          <w:szCs w:val="32"/>
          <w:lang w:eastAsia="zh-CN"/>
        </w:rPr>
        <w:t>经地级以上市评估，</w:t>
      </w:r>
      <w:r>
        <w:rPr>
          <w:rFonts w:hint="eastAsia" w:eastAsia="仿宋"/>
          <w:kern w:val="0"/>
          <w:szCs w:val="32"/>
        </w:rPr>
        <w:t>认为经营主体、经营项目食品安全风险较低，可不需要对申请材料的实质内容进行现场核实的</w:t>
      </w:r>
      <w:r>
        <w:rPr>
          <w:rFonts w:hint="eastAsia" w:ascii="仿宋_GB2312" w:hAnsi="仿宋_GB2312" w:cs="仿宋_GB2312"/>
          <w:sz w:val="32"/>
          <w:szCs w:val="32"/>
          <w:lang w:eastAsia="zh-CN"/>
        </w:rPr>
        <w:t>。</w:t>
      </w:r>
      <w:r>
        <w:rPr>
          <w:rFonts w:hint="eastAsia" w:eastAsia="仿宋"/>
          <w:bCs/>
          <w:kern w:val="0"/>
          <w:szCs w:val="32"/>
        </w:rPr>
        <w:t>地级以上市市场监督管理部门应当对</w:t>
      </w:r>
      <w:r>
        <w:rPr>
          <w:rFonts w:hint="eastAsia" w:eastAsia="仿宋"/>
          <w:bCs/>
          <w:kern w:val="0"/>
          <w:szCs w:val="32"/>
          <w:lang w:eastAsia="zh-CN"/>
        </w:rPr>
        <w:t>符合</w:t>
      </w:r>
      <w:r>
        <w:rPr>
          <w:rFonts w:hint="eastAsia" w:eastAsia="仿宋"/>
          <w:bCs/>
          <w:kern w:val="0"/>
          <w:szCs w:val="32"/>
        </w:rPr>
        <w:t>本</w:t>
      </w:r>
      <w:r>
        <w:rPr>
          <w:rFonts w:hint="eastAsia" w:eastAsia="仿宋"/>
          <w:bCs/>
          <w:kern w:val="0"/>
          <w:szCs w:val="32"/>
          <w:lang w:eastAsia="zh-CN"/>
        </w:rPr>
        <w:t>款</w:t>
      </w:r>
      <w:r>
        <w:rPr>
          <w:rFonts w:hint="eastAsia" w:eastAsia="仿宋"/>
          <w:bCs/>
          <w:kern w:val="0"/>
          <w:szCs w:val="32"/>
        </w:rPr>
        <w:t>免予现场核查的情形</w:t>
      </w:r>
      <w:r>
        <w:rPr>
          <w:rFonts w:hint="eastAsia" w:eastAsia="仿宋"/>
          <w:bCs/>
          <w:kern w:val="0"/>
          <w:szCs w:val="32"/>
          <w:lang w:eastAsia="zh-CN"/>
        </w:rPr>
        <w:t>适时</w:t>
      </w:r>
      <w:r>
        <w:rPr>
          <w:rFonts w:hint="eastAsia" w:eastAsia="仿宋"/>
          <w:bCs/>
          <w:kern w:val="0"/>
          <w:szCs w:val="32"/>
        </w:rPr>
        <w:t>开展食品安全风险评估，经评估表明存在食品安全风险上升不</w:t>
      </w:r>
      <w:r>
        <w:rPr>
          <w:rFonts w:hint="eastAsia" w:eastAsia="仿宋"/>
          <w:bCs/>
          <w:kern w:val="0"/>
          <w:szCs w:val="32"/>
          <w:lang w:eastAsia="zh-CN"/>
        </w:rPr>
        <w:t>再</w:t>
      </w:r>
      <w:r>
        <w:rPr>
          <w:rFonts w:hint="eastAsia" w:eastAsia="仿宋"/>
          <w:bCs/>
          <w:kern w:val="0"/>
          <w:szCs w:val="32"/>
        </w:rPr>
        <w:t>适宜免予现场核查的，应当恢复实施现场核查。</w:t>
      </w:r>
    </w:p>
    <w:p w14:paraId="29BD07F5">
      <w:pPr>
        <w:spacing w:line="560" w:lineRule="exact"/>
        <w:ind w:firstLine="640" w:firstLineChars="200"/>
        <w:rPr>
          <w:rFonts w:hint="eastAsia" w:ascii="黑体" w:hAnsi="黑体" w:eastAsia="黑体" w:cs="黑体"/>
          <w:kern w:val="0"/>
          <w:szCs w:val="32"/>
        </w:rPr>
      </w:pPr>
      <w:r>
        <w:rPr>
          <w:rFonts w:hint="eastAsia" w:eastAsia="仿宋"/>
          <w:kern w:val="0"/>
          <w:szCs w:val="32"/>
          <w:u w:val="none"/>
          <w:lang w:eastAsia="zh-CN"/>
        </w:rPr>
        <w:t>本条规定的</w:t>
      </w:r>
      <w:r>
        <w:rPr>
          <w:rFonts w:hint="eastAsia" w:eastAsia="仿宋"/>
          <w:kern w:val="0"/>
          <w:szCs w:val="32"/>
        </w:rPr>
        <w:t>免于现场核查的情形不适用于中央厨房、集体用餐配送单位、集中用餐单位食堂及大</w:t>
      </w:r>
      <w:r>
        <w:rPr>
          <w:rFonts w:hint="eastAsia" w:eastAsia="仿宋"/>
          <w:kern w:val="0"/>
          <w:szCs w:val="32"/>
          <w:lang w:eastAsia="zh-CN"/>
        </w:rPr>
        <w:t>、</w:t>
      </w:r>
      <w:r>
        <w:rPr>
          <w:rFonts w:hint="eastAsia" w:eastAsia="仿宋" w:cs="Times New Roman"/>
          <w:kern w:val="0"/>
          <w:szCs w:val="32"/>
          <w:lang w:eastAsia="zh-CN"/>
        </w:rPr>
        <w:t>中</w:t>
      </w:r>
      <w:r>
        <w:rPr>
          <w:rFonts w:hint="eastAsia" w:eastAsia="仿宋" w:cs="Times New Roman"/>
          <w:kern w:val="0"/>
          <w:szCs w:val="32"/>
        </w:rPr>
        <w:t>型餐馆的新申请核发</w:t>
      </w:r>
      <w:r>
        <w:rPr>
          <w:rFonts w:hint="eastAsia" w:eastAsia="仿宋" w:cs="Times New Roman"/>
          <w:kern w:val="0"/>
          <w:szCs w:val="32"/>
          <w:lang w:eastAsia="zh-CN"/>
        </w:rPr>
        <w:t>及</w:t>
      </w:r>
      <w:r>
        <w:rPr>
          <w:rFonts w:hint="eastAsia" w:eastAsia="仿宋" w:cs="Times New Roman"/>
          <w:kern w:val="0"/>
          <w:szCs w:val="32"/>
          <w:lang w:val="en-US" w:eastAsia="zh-CN"/>
        </w:rPr>
        <w:t>延续</w:t>
      </w:r>
      <w:r>
        <w:rPr>
          <w:rFonts w:hint="eastAsia" w:eastAsia="仿宋" w:cs="Times New Roman"/>
          <w:kern w:val="0"/>
          <w:szCs w:val="32"/>
        </w:rPr>
        <w:t>。</w:t>
      </w:r>
    </w:p>
    <w:p w14:paraId="226F2F92">
      <w:pPr>
        <w:spacing w:line="560" w:lineRule="exact"/>
        <w:ind w:firstLine="640" w:firstLineChars="200"/>
        <w:rPr>
          <w:rFonts w:hint="eastAsia" w:ascii="黑体" w:hAnsi="黑体" w:eastAsia="黑体" w:cs="黑体"/>
          <w:kern w:val="0"/>
          <w:szCs w:val="32"/>
        </w:rPr>
      </w:pPr>
      <w:r>
        <w:rPr>
          <w:rFonts w:hint="eastAsia" w:eastAsia="仿宋"/>
          <w:kern w:val="0"/>
          <w:szCs w:val="32"/>
          <w:lang w:eastAsia="zh-CN"/>
        </w:rPr>
        <w:t>符合本条第（一）（二）（五）款</w:t>
      </w:r>
      <w:r>
        <w:rPr>
          <w:rFonts w:hint="eastAsia" w:eastAsia="仿宋"/>
          <w:kern w:val="0"/>
          <w:szCs w:val="32"/>
        </w:rPr>
        <w:t>未实施现场核查的，</w:t>
      </w:r>
      <w:r>
        <w:rPr>
          <w:rFonts w:hint="eastAsia" w:eastAsia="仿宋"/>
          <w:kern w:val="0"/>
          <w:szCs w:val="32"/>
          <w:lang w:eastAsia="zh-CN"/>
        </w:rPr>
        <w:t>市场监督管理</w:t>
      </w:r>
      <w:r>
        <w:rPr>
          <w:rFonts w:hint="eastAsia" w:eastAsia="仿宋"/>
          <w:kern w:val="0"/>
          <w:szCs w:val="32"/>
        </w:rPr>
        <w:t>部门应当按照规定对经营者实施首次监督检查。</w:t>
      </w:r>
    </w:p>
    <w:p w14:paraId="44CFD63D">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食品安全法》第三十五条规定：......，必要时对申请人的生产经营场所进行现场核查。即现场核查为非必要程序。本条除保留原细则可不进行现场核查的两个情形之外，增加了经营项目由市级监管部门经评估后，认为食品安全风险较低可不需要对申请材料的实质内容进行核实的，可不进行现场核查情形。</w:t>
      </w:r>
    </w:p>
    <w:p w14:paraId="0B66F241">
      <w:pPr>
        <w:numPr>
          <w:ilvl w:val="0"/>
          <w:numId w:val="0"/>
        </w:numPr>
        <w:spacing w:line="560" w:lineRule="exact"/>
        <w:ind w:firstLine="643" w:firstLineChars="200"/>
        <w:rPr>
          <w:rFonts w:hint="eastAsia"/>
          <w:lang w:val="en-US" w:eastAsia="zh-CN"/>
        </w:rPr>
      </w:pPr>
      <w:r>
        <w:rPr>
          <w:rFonts w:hint="eastAsia" w:eastAsia="仿宋"/>
          <w:b/>
          <w:bCs/>
          <w:kern w:val="0"/>
          <w:szCs w:val="32"/>
          <w:lang w:val="en-US" w:eastAsia="zh-CN"/>
        </w:rPr>
        <w:t>第十三条（连锁食品经营企业便利化许可）</w:t>
      </w:r>
      <w:r>
        <w:rPr>
          <w:rFonts w:hint="eastAsia"/>
          <w:color w:val="FF0000"/>
          <w:lang w:val="en-US" w:eastAsia="zh-CN"/>
        </w:rPr>
        <w:t xml:space="preserve"> </w:t>
      </w:r>
      <w:r>
        <w:rPr>
          <w:rFonts w:hint="eastAsia" w:eastAsia="仿宋"/>
          <w:kern w:val="0"/>
          <w:szCs w:val="32"/>
        </w:rPr>
        <w:t>经地级以上市市场监督管理部门评</w:t>
      </w:r>
      <w:r>
        <w:rPr>
          <w:rFonts w:hint="eastAsia" w:eastAsia="仿宋"/>
          <w:kern w:val="0"/>
          <w:szCs w:val="32"/>
          <w:lang w:eastAsia="zh-CN"/>
        </w:rPr>
        <w:t>估</w:t>
      </w:r>
      <w:r>
        <w:rPr>
          <w:rFonts w:hint="eastAsia" w:eastAsia="仿宋"/>
          <w:kern w:val="0"/>
          <w:szCs w:val="32"/>
        </w:rPr>
        <w:t>，</w:t>
      </w:r>
      <w:r>
        <w:rPr>
          <w:rFonts w:hint="eastAsia" w:eastAsia="仿宋"/>
          <w:kern w:val="0"/>
          <w:szCs w:val="32"/>
          <w:lang w:eastAsia="zh-CN"/>
        </w:rPr>
        <w:t>注册在本省的</w:t>
      </w:r>
      <w:r>
        <w:rPr>
          <w:rFonts w:hint="eastAsia"/>
          <w:lang w:val="en-US" w:eastAsia="zh-CN"/>
        </w:rPr>
        <w:t>连锁食品经营企业总部在食品经营许可所在地级市（含地级以上市）有20家（含20家）以上直营门店，且总部及本地区所有直营门店近二年内不存在因食品安全违法行为被立案、并处以罚款以上（含罚款）行政处罚的，连锁食品经营企业新开办直营门店，适用免于现场核查。</w:t>
      </w:r>
    </w:p>
    <w:p w14:paraId="67DC3222">
      <w:pPr>
        <w:numPr>
          <w:ilvl w:val="0"/>
          <w:numId w:val="0"/>
        </w:numPr>
        <w:spacing w:line="560" w:lineRule="exact"/>
        <w:ind w:firstLine="640" w:firstLineChars="200"/>
        <w:rPr>
          <w:rFonts w:hint="eastAsia"/>
          <w:lang w:val="en-US" w:eastAsia="zh-CN"/>
        </w:rPr>
      </w:pPr>
      <w:r>
        <w:rPr>
          <w:rFonts w:hint="eastAsia"/>
          <w:lang w:val="en-US" w:eastAsia="zh-CN"/>
        </w:rPr>
        <w:t>评估采取自愿原则，连锁食品经营企业总部可以向所在地市级（含地级以上市）市场监管部门申请，申请时应提交下列材料：</w:t>
      </w:r>
    </w:p>
    <w:p w14:paraId="2BDB57A6">
      <w:pPr>
        <w:numPr>
          <w:ilvl w:val="0"/>
          <w:numId w:val="2"/>
        </w:numPr>
        <w:spacing w:line="560" w:lineRule="exact"/>
        <w:ind w:firstLine="640" w:firstLineChars="200"/>
        <w:rPr>
          <w:rFonts w:hint="eastAsia"/>
          <w:lang w:val="en-US" w:eastAsia="zh-CN"/>
        </w:rPr>
      </w:pPr>
      <w:r>
        <w:rPr>
          <w:rFonts w:hint="eastAsia"/>
          <w:lang w:val="en-US" w:eastAsia="zh-CN"/>
        </w:rPr>
        <w:t>评估申请书；</w:t>
      </w:r>
    </w:p>
    <w:p w14:paraId="5A57E536">
      <w:pPr>
        <w:numPr>
          <w:ilvl w:val="0"/>
          <w:numId w:val="2"/>
        </w:numPr>
        <w:spacing w:line="560" w:lineRule="exact"/>
        <w:ind w:firstLine="640" w:firstLineChars="200"/>
        <w:rPr>
          <w:rFonts w:hint="eastAsia"/>
          <w:lang w:val="en-US" w:eastAsia="zh-CN"/>
        </w:rPr>
      </w:pPr>
      <w:r>
        <w:rPr>
          <w:rFonts w:hint="eastAsia"/>
          <w:lang w:val="en-US" w:eastAsia="zh-CN"/>
        </w:rPr>
        <w:t>本地区所有直营门店名录；</w:t>
      </w:r>
    </w:p>
    <w:p w14:paraId="142B3D5A">
      <w:pPr>
        <w:numPr>
          <w:ilvl w:val="0"/>
          <w:numId w:val="2"/>
        </w:numPr>
        <w:spacing w:line="560" w:lineRule="exact"/>
        <w:ind w:firstLine="640" w:firstLineChars="200"/>
        <w:rPr>
          <w:rFonts w:hint="eastAsia"/>
          <w:lang w:val="en-US" w:eastAsia="zh-CN"/>
        </w:rPr>
      </w:pPr>
      <w:r>
        <w:rPr>
          <w:rFonts w:hint="eastAsia"/>
          <w:lang w:val="en-US" w:eastAsia="zh-CN"/>
        </w:rPr>
        <w:t>食品安全管理体系报告，报告内容应包括统一的组织架构，统一经营管理，统一配送食品，统一承担食品安全责任等内容；</w:t>
      </w:r>
    </w:p>
    <w:p w14:paraId="532BBB45">
      <w:pPr>
        <w:numPr>
          <w:ilvl w:val="0"/>
          <w:numId w:val="2"/>
        </w:numPr>
        <w:spacing w:line="560" w:lineRule="exact"/>
        <w:ind w:firstLine="640" w:firstLineChars="200"/>
        <w:rPr>
          <w:rFonts w:hint="eastAsia"/>
          <w:lang w:val="en-US" w:eastAsia="zh-CN"/>
        </w:rPr>
      </w:pPr>
      <w:r>
        <w:rPr>
          <w:rFonts w:hint="eastAsia"/>
          <w:lang w:val="en-US" w:eastAsia="zh-CN"/>
        </w:rPr>
        <w:t>门店标准化设施设备清单、经营布局、操作流程等文件；</w:t>
      </w:r>
    </w:p>
    <w:p w14:paraId="27D11261">
      <w:pPr>
        <w:numPr>
          <w:ilvl w:val="0"/>
          <w:numId w:val="2"/>
        </w:numPr>
        <w:spacing w:line="560" w:lineRule="exact"/>
        <w:ind w:firstLine="640" w:firstLineChars="200"/>
        <w:rPr>
          <w:rFonts w:hint="eastAsia"/>
          <w:lang w:val="en-US" w:eastAsia="zh-CN"/>
        </w:rPr>
      </w:pPr>
      <w:r>
        <w:rPr>
          <w:rFonts w:hint="eastAsia"/>
          <w:lang w:val="en-US" w:eastAsia="zh-CN"/>
        </w:rPr>
        <w:t>连锁食品经营企业食品安全管理制度。</w:t>
      </w:r>
    </w:p>
    <w:p w14:paraId="02AC7A31">
      <w:pPr>
        <w:numPr>
          <w:ilvl w:val="0"/>
          <w:numId w:val="0"/>
        </w:numPr>
        <w:spacing w:line="560" w:lineRule="exact"/>
        <w:ind w:firstLine="640" w:firstLineChars="200"/>
        <w:rPr>
          <w:rFonts w:hint="eastAsia"/>
          <w:lang w:val="en-US" w:eastAsia="zh-CN"/>
        </w:rPr>
      </w:pPr>
      <w:r>
        <w:rPr>
          <w:rFonts w:hint="eastAsia"/>
          <w:lang w:val="en-US" w:eastAsia="zh-CN"/>
        </w:rPr>
        <w:t>市级市场监督管理部门对申请企业进行评估，出具评估意见，必要时可开展现场评估。经评估，符合免于现场核查的，由评估部门在食品经营许可系统予以标注，评估结果在全省内适用。</w:t>
      </w:r>
    </w:p>
    <w:p w14:paraId="2C28BCD1">
      <w:pPr>
        <w:ind w:firstLine="640"/>
        <w:rPr>
          <w:rFonts w:hint="eastAsia"/>
          <w:lang w:val="en-US" w:eastAsia="zh-CN"/>
        </w:rPr>
      </w:pPr>
      <w:r>
        <w:rPr>
          <w:rFonts w:hint="eastAsia"/>
          <w:lang w:val="en-US" w:eastAsia="zh-CN"/>
        </w:rPr>
        <w:t>连锁食品经营企业总部申请条件、主体业态、经营项目或直营门店流程布局发生较大变化的，须重新申请评估。</w:t>
      </w:r>
    </w:p>
    <w:p w14:paraId="0A11BC04">
      <w:pPr>
        <w:ind w:firstLine="640"/>
        <w:rPr>
          <w:rFonts w:hint="eastAsia"/>
          <w:lang w:val="en-US" w:eastAsia="zh-CN"/>
        </w:rPr>
      </w:pPr>
      <w:r>
        <w:rPr>
          <w:rFonts w:hint="eastAsia"/>
          <w:lang w:val="en-US" w:eastAsia="zh-CN"/>
        </w:rPr>
        <w:t>评估后免于现场核查的连锁食品经营企业，在评估地之外的直营门店发生因食品安全违法行为被立案、并处以罚款以上（含罚款）行政处罚的，该直营门店所在地监管部门应将行政处罚情况通报至连锁食品经营企业总部评估部门。</w:t>
      </w:r>
    </w:p>
    <w:p w14:paraId="4CB8BD20">
      <w:pPr>
        <w:ind w:firstLine="640"/>
        <w:rPr>
          <w:rFonts w:hint="eastAsia"/>
          <w:lang w:val="en-US" w:eastAsia="zh-CN"/>
        </w:rPr>
      </w:pPr>
      <w:r>
        <w:rPr>
          <w:rFonts w:hint="eastAsia"/>
          <w:lang w:val="en-US" w:eastAsia="zh-CN"/>
        </w:rPr>
        <w:t>连锁食品经营企业总部及在省内直营门店发生因食品安全违法行为被立案、并处以罚款以上（含罚款）行政处罚，或者被追究刑事责任的，其新开设的直营门店不再适用免于现场核查，并且两年内该企业总部不得提出免于现场核查评估申请。不再适用免于现场核查的，由原评估部门在食品经营许可系统予以标注。</w:t>
      </w:r>
    </w:p>
    <w:p w14:paraId="0F2B732C">
      <w:pPr>
        <w:spacing w:line="560" w:lineRule="exact"/>
        <w:ind w:firstLine="640" w:firstLineChars="200"/>
        <w:rPr>
          <w:rFonts w:hint="eastAsia" w:ascii="黑体" w:hAnsi="黑体" w:eastAsia="黑体" w:cs="黑体"/>
          <w:kern w:val="0"/>
          <w:szCs w:val="32"/>
        </w:rPr>
      </w:pPr>
      <w:r>
        <w:rPr>
          <w:rFonts w:hint="eastAsia" w:eastAsia="仿宋"/>
          <w:kern w:val="0"/>
          <w:szCs w:val="32"/>
        </w:rPr>
        <w:t>未实施现场核查的，</w:t>
      </w:r>
      <w:r>
        <w:rPr>
          <w:rFonts w:hint="eastAsia" w:eastAsia="仿宋"/>
          <w:kern w:val="0"/>
          <w:szCs w:val="32"/>
          <w:lang w:eastAsia="zh-CN"/>
        </w:rPr>
        <w:t>市场监督管理</w:t>
      </w:r>
      <w:r>
        <w:rPr>
          <w:rFonts w:hint="eastAsia" w:eastAsia="仿宋"/>
          <w:kern w:val="0"/>
          <w:szCs w:val="32"/>
        </w:rPr>
        <w:t>部门应当按照规定对经营者实施首次监督检查。</w:t>
      </w:r>
    </w:p>
    <w:p w14:paraId="168A909B">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lang w:val="en-US" w:eastAsia="zh-CN"/>
        </w:rPr>
        <w:t>说明：2020年起，省局</w:t>
      </w:r>
      <w:r>
        <w:rPr>
          <w:rFonts w:hint="eastAsia" w:ascii="方正楷体_GBK" w:hAnsi="方正楷体_GBK" w:eastAsia="方正楷体_GBK" w:cs="方正楷体_GBK"/>
          <w:bCs/>
          <w:sz w:val="28"/>
          <w:szCs w:val="28"/>
        </w:rPr>
        <w:t>开展</w:t>
      </w:r>
      <w:r>
        <w:rPr>
          <w:rFonts w:hint="eastAsia" w:ascii="方正楷体_GBK" w:hAnsi="方正楷体_GBK" w:eastAsia="方正楷体_GBK" w:cs="方正楷体_GBK"/>
          <w:bCs/>
          <w:sz w:val="28"/>
          <w:szCs w:val="28"/>
          <w:lang w:eastAsia="zh-CN"/>
        </w:rPr>
        <w:t>了</w:t>
      </w:r>
      <w:r>
        <w:rPr>
          <w:rFonts w:hint="eastAsia" w:ascii="方正楷体_GBK" w:hAnsi="方正楷体_GBK" w:eastAsia="方正楷体_GBK" w:cs="方正楷体_GBK"/>
          <w:bCs/>
          <w:sz w:val="28"/>
          <w:szCs w:val="28"/>
        </w:rPr>
        <w:t>连锁餐饮服务单位食品经营许可告知承诺制</w:t>
      </w:r>
      <w:r>
        <w:rPr>
          <w:rFonts w:hint="eastAsia" w:ascii="方正楷体_GBK" w:hAnsi="方正楷体_GBK" w:eastAsia="方正楷体_GBK" w:cs="方正楷体_GBK"/>
          <w:bCs/>
          <w:sz w:val="28"/>
          <w:szCs w:val="28"/>
          <w:lang w:eastAsia="zh-CN"/>
        </w:rPr>
        <w:t>试点工作，陆续有深圳、佛山、东莞、云浮等市参与试点，主要做法是由各市出台操作规范，由企业自愿申请，经市局评审后，总部在本市新开门店经营许可实施承诺制，免于现场核查，此做法为企业提供了便利化许可服务，节约了连锁企业食品经营许可证办证时间，取得了一定的社会效益，受到企业欢迎。本条将实施范围扩大至全省，并且提出省内对评审结果的互认，一次评估，全省通用，方便总部向市外发展时同样享受便利化许可服务。</w:t>
      </w:r>
    </w:p>
    <w:p w14:paraId="61475848">
      <w:pPr>
        <w:spacing w:line="560" w:lineRule="exact"/>
        <w:ind w:firstLine="643" w:firstLineChars="200"/>
        <w:rPr>
          <w:rFonts w:hint="eastAsia" w:eastAsia="仿宋"/>
          <w:bCs/>
          <w:kern w:val="0"/>
          <w:szCs w:val="32"/>
        </w:rPr>
      </w:pPr>
      <w:r>
        <w:rPr>
          <w:rFonts w:hint="eastAsia" w:eastAsia="仿宋"/>
          <w:b/>
          <w:bCs/>
          <w:kern w:val="0"/>
          <w:szCs w:val="32"/>
        </w:rPr>
        <w:t>第</w:t>
      </w:r>
      <w:r>
        <w:rPr>
          <w:rFonts w:hint="eastAsia" w:eastAsia="仿宋"/>
          <w:b/>
          <w:bCs/>
          <w:kern w:val="0"/>
          <w:szCs w:val="32"/>
          <w:lang w:eastAsia="zh-CN"/>
        </w:rPr>
        <w:t>十四</w:t>
      </w:r>
      <w:r>
        <w:rPr>
          <w:rFonts w:hint="eastAsia" w:eastAsia="仿宋"/>
          <w:b/>
          <w:bCs/>
          <w:kern w:val="0"/>
          <w:szCs w:val="32"/>
        </w:rPr>
        <w:t>条（严重违法失信</w:t>
      </w:r>
      <w:r>
        <w:rPr>
          <w:rFonts w:hint="eastAsia" w:eastAsia="仿宋"/>
          <w:b/>
          <w:bCs/>
          <w:kern w:val="0"/>
          <w:szCs w:val="32"/>
          <w:lang w:eastAsia="zh-CN"/>
        </w:rPr>
        <w:t>名单</w:t>
      </w:r>
      <w:r>
        <w:rPr>
          <w:rFonts w:hint="eastAsia" w:eastAsia="仿宋"/>
          <w:b/>
          <w:bCs/>
          <w:kern w:val="0"/>
          <w:szCs w:val="32"/>
        </w:rPr>
        <w:t xml:space="preserve">）  </w:t>
      </w:r>
      <w:r>
        <w:rPr>
          <w:rFonts w:hint="eastAsia" w:eastAsia="仿宋"/>
          <w:bCs/>
          <w:kern w:val="0"/>
          <w:szCs w:val="32"/>
        </w:rPr>
        <w:t>许可部门应</w:t>
      </w:r>
      <w:r>
        <w:rPr>
          <w:rFonts w:hint="eastAsia" w:eastAsia="仿宋"/>
          <w:bCs/>
          <w:kern w:val="0"/>
          <w:szCs w:val="32"/>
          <w:lang w:eastAsia="zh-CN"/>
        </w:rPr>
        <w:t>在“信用中国”平台</w:t>
      </w:r>
      <w:r>
        <w:rPr>
          <w:rFonts w:hint="eastAsia" w:eastAsia="仿宋"/>
          <w:bCs/>
          <w:kern w:val="0"/>
          <w:szCs w:val="32"/>
        </w:rPr>
        <w:t>对拟承包集中用餐单位食堂承包经营者是否列入严重违法失信名单进行</w:t>
      </w:r>
      <w:r>
        <w:rPr>
          <w:rFonts w:hint="eastAsia" w:eastAsia="仿宋"/>
          <w:bCs/>
          <w:kern w:val="0"/>
          <w:szCs w:val="32"/>
          <w:lang w:eastAsia="zh-CN"/>
        </w:rPr>
        <w:t>核查</w:t>
      </w:r>
      <w:r>
        <w:rPr>
          <w:rFonts w:hint="eastAsia" w:eastAsia="仿宋"/>
          <w:bCs/>
          <w:kern w:val="0"/>
          <w:szCs w:val="32"/>
        </w:rPr>
        <w:t>。被列入严重违法失信名单的企业不得承包集中用餐单位食堂。</w:t>
      </w:r>
    </w:p>
    <w:p w14:paraId="5897622F">
      <w:pPr>
        <w:widowControl/>
        <w:spacing w:line="500" w:lineRule="exact"/>
        <w:ind w:firstLine="561"/>
        <w:rPr>
          <w:rFonts w:hint="eastAsia"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lang w:val="en-US" w:eastAsia="zh-CN"/>
        </w:rPr>
        <w:t>说明：通则第四十四条规定，被列入严重违法失信名单的企业不得承包集中用餐单位食堂。本细则规定由许可部门对食堂申请人申请外包食堂经营许可时，对承包者是否属于前述情况进行审查。</w:t>
      </w:r>
    </w:p>
    <w:p w14:paraId="256B06E9">
      <w:pPr>
        <w:widowControl/>
        <w:spacing w:line="600" w:lineRule="exact"/>
        <w:ind w:firstLine="643" w:firstLineChars="200"/>
        <w:rPr>
          <w:rFonts w:hint="eastAsia"/>
          <w:lang w:val="en-US" w:eastAsia="zh-CN"/>
        </w:rPr>
      </w:pPr>
      <w:r>
        <w:rPr>
          <w:rFonts w:hint="eastAsia" w:eastAsia="仿宋"/>
          <w:b/>
          <w:bCs/>
          <w:kern w:val="0"/>
          <w:szCs w:val="32"/>
        </w:rPr>
        <w:t>第十</w:t>
      </w:r>
      <w:r>
        <w:rPr>
          <w:rFonts w:hint="eastAsia" w:eastAsia="仿宋"/>
          <w:b/>
          <w:bCs/>
          <w:kern w:val="0"/>
          <w:szCs w:val="32"/>
          <w:lang w:eastAsia="zh-CN"/>
        </w:rPr>
        <w:t>五</w:t>
      </w:r>
      <w:r>
        <w:rPr>
          <w:rFonts w:hint="eastAsia" w:eastAsia="仿宋"/>
          <w:b/>
          <w:bCs/>
          <w:kern w:val="0"/>
          <w:szCs w:val="32"/>
        </w:rPr>
        <w:t>条（远程核查）</w:t>
      </w:r>
      <w:r>
        <w:rPr>
          <w:rFonts w:hint="eastAsia" w:eastAsia="仿宋"/>
          <w:kern w:val="0"/>
          <w:szCs w:val="32"/>
        </w:rPr>
        <w:t xml:space="preserve">  远程核查可作为现场核查的方式之一，远程核查应符合国家和省的有关规定。</w:t>
      </w:r>
      <w:r>
        <w:rPr>
          <w:rFonts w:hint="eastAsia"/>
          <w:lang w:val="en-US" w:eastAsia="zh-CN"/>
        </w:rPr>
        <w:t>鼓励通过“互联网+明厨亮灶”等方式开展远程核查。</w:t>
      </w:r>
    </w:p>
    <w:p w14:paraId="178FA5FA">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开展食品经营许可远程核查试点工作符合深化“放管服”改革，优化营商环境，提升行政效能的理念。开展远程核查对提升许可工作效率、企业满意度与传统现场核查方式相比都有所提升，特别是疫情期间，大大提高了群众办事的便捷度，降低了市场准入成本。</w:t>
      </w:r>
      <w:r>
        <w:rPr>
          <w:rFonts w:hint="eastAsia" w:ascii="方正楷体_GBK" w:hAnsi="方正楷体_GBK" w:eastAsia="方正楷体_GBK" w:cs="方正楷体_GBK"/>
          <w:bCs/>
          <w:sz w:val="28"/>
          <w:szCs w:val="28"/>
          <w:lang w:val="en-US" w:eastAsia="zh-CN"/>
        </w:rPr>
        <w:t>鼓励通过“互联网+明厨亮灶”等方式开展远程核查，目的是指引经营者在证前安装“互联网+明厨亮灶”视频设备，推动“互联网+明厨亮灶”建设的覆盖面。</w:t>
      </w:r>
    </w:p>
    <w:p w14:paraId="4475CEAA">
      <w:pPr>
        <w:spacing w:line="600" w:lineRule="exact"/>
        <w:ind w:firstLine="643" w:firstLineChars="200"/>
        <w:rPr>
          <w:rFonts w:hint="eastAsia" w:eastAsia="仿宋"/>
          <w:kern w:val="0"/>
          <w:szCs w:val="32"/>
        </w:rPr>
      </w:pPr>
      <w:r>
        <w:rPr>
          <w:rFonts w:hint="eastAsia" w:eastAsia="仿宋"/>
          <w:b/>
          <w:bCs/>
          <w:kern w:val="0"/>
          <w:szCs w:val="32"/>
        </w:rPr>
        <w:t>第十</w:t>
      </w:r>
      <w:r>
        <w:rPr>
          <w:rFonts w:hint="eastAsia" w:eastAsia="仿宋"/>
          <w:b/>
          <w:bCs/>
          <w:kern w:val="0"/>
          <w:szCs w:val="32"/>
          <w:lang w:eastAsia="zh-CN"/>
        </w:rPr>
        <w:t>六</w:t>
      </w:r>
      <w:r>
        <w:rPr>
          <w:rFonts w:hint="eastAsia" w:eastAsia="仿宋"/>
          <w:b/>
          <w:bCs/>
          <w:kern w:val="0"/>
          <w:szCs w:val="32"/>
        </w:rPr>
        <w:t xml:space="preserve">条（核定供餐能力） </w:t>
      </w:r>
      <w:r>
        <w:rPr>
          <w:rFonts w:hint="eastAsia" w:eastAsia="仿宋"/>
          <w:kern w:val="0"/>
          <w:szCs w:val="32"/>
        </w:rPr>
        <w:t xml:space="preserve"> 集中用餐单位食堂</w:t>
      </w:r>
      <w:r>
        <w:rPr>
          <w:rFonts w:eastAsia="仿宋"/>
          <w:kern w:val="0"/>
          <w:szCs w:val="32"/>
        </w:rPr>
        <w:t>食品处理区的面积应当与就餐人数、加工和供应品种及数量相适应。食品处理区的面积不</w:t>
      </w:r>
      <w:r>
        <w:rPr>
          <w:rFonts w:hint="eastAsia" w:eastAsia="仿宋"/>
          <w:kern w:val="0"/>
          <w:szCs w:val="32"/>
          <w:lang w:eastAsia="zh-CN"/>
        </w:rPr>
        <w:t>应</w:t>
      </w:r>
      <w:r>
        <w:rPr>
          <w:rFonts w:eastAsia="仿宋"/>
          <w:kern w:val="0"/>
          <w:szCs w:val="32"/>
        </w:rPr>
        <w:t>小于30</w:t>
      </w:r>
      <w:r>
        <w:rPr>
          <w:rFonts w:hint="eastAsia" w:eastAsia="仿宋"/>
          <w:kern w:val="0"/>
          <w:szCs w:val="32"/>
        </w:rPr>
        <w:t>㎡</w:t>
      </w:r>
      <w:r>
        <w:rPr>
          <w:rFonts w:eastAsia="仿宋"/>
          <w:kern w:val="0"/>
          <w:szCs w:val="32"/>
        </w:rPr>
        <w:t>，就餐人数人均面积</w:t>
      </w:r>
      <w:r>
        <w:rPr>
          <w:rFonts w:hint="eastAsia" w:eastAsia="仿宋"/>
          <w:kern w:val="0"/>
          <w:szCs w:val="32"/>
          <w:lang w:eastAsia="zh-CN"/>
        </w:rPr>
        <w:t>不</w:t>
      </w:r>
      <w:r>
        <w:rPr>
          <w:rFonts w:eastAsia="仿宋"/>
          <w:kern w:val="0"/>
          <w:szCs w:val="32"/>
        </w:rPr>
        <w:t>应小于0.2</w:t>
      </w:r>
      <w:r>
        <w:rPr>
          <w:rFonts w:hint="eastAsia" w:eastAsia="仿宋"/>
          <w:kern w:val="0"/>
          <w:szCs w:val="32"/>
        </w:rPr>
        <w:t>㎡</w:t>
      </w:r>
      <w:r>
        <w:rPr>
          <w:rFonts w:eastAsia="仿宋"/>
          <w:kern w:val="0"/>
          <w:szCs w:val="32"/>
        </w:rPr>
        <w:t>。</w:t>
      </w:r>
    </w:p>
    <w:p w14:paraId="6EE80212">
      <w:pPr>
        <w:spacing w:line="600" w:lineRule="exact"/>
        <w:ind w:firstLine="560"/>
        <w:rPr>
          <w:rFonts w:eastAsia="仿宋"/>
          <w:kern w:val="0"/>
          <w:szCs w:val="32"/>
        </w:rPr>
      </w:pPr>
      <w:r>
        <w:rPr>
          <w:rFonts w:eastAsia="仿宋"/>
          <w:kern w:val="0"/>
          <w:szCs w:val="32"/>
        </w:rPr>
        <w:t>中央厨房和集体用餐配送单位食品处理区的面积不</w:t>
      </w:r>
      <w:r>
        <w:rPr>
          <w:rFonts w:hint="eastAsia" w:eastAsia="仿宋"/>
          <w:kern w:val="0"/>
          <w:szCs w:val="32"/>
          <w:lang w:eastAsia="zh-CN"/>
        </w:rPr>
        <w:t>应</w:t>
      </w:r>
      <w:r>
        <w:rPr>
          <w:rFonts w:eastAsia="仿宋"/>
          <w:kern w:val="0"/>
          <w:szCs w:val="32"/>
        </w:rPr>
        <w:t>小于300㎡。</w:t>
      </w:r>
    </w:p>
    <w:p w14:paraId="06E3E52F">
      <w:pPr>
        <w:spacing w:line="600" w:lineRule="exact"/>
        <w:ind w:firstLine="560"/>
        <w:rPr>
          <w:rFonts w:hint="eastAsia" w:eastAsia="仿宋"/>
          <w:kern w:val="0"/>
          <w:szCs w:val="32"/>
          <w:lang w:eastAsia="zh-CN"/>
        </w:rPr>
      </w:pPr>
      <w:r>
        <w:rPr>
          <w:rFonts w:eastAsia="仿宋"/>
          <w:kern w:val="0"/>
          <w:szCs w:val="32"/>
        </w:rPr>
        <w:t>集体用餐配送单位食品处理区面积小于400㎡的，面积与</w:t>
      </w:r>
      <w:r>
        <w:rPr>
          <w:rFonts w:hint="eastAsia" w:eastAsia="仿宋"/>
          <w:kern w:val="0"/>
          <w:szCs w:val="32"/>
        </w:rPr>
        <w:t>单</w:t>
      </w:r>
      <w:r>
        <w:rPr>
          <w:rFonts w:hint="eastAsia" w:eastAsia="仿宋"/>
          <w:kern w:val="0"/>
          <w:szCs w:val="32"/>
          <w:lang w:eastAsia="zh-CN"/>
        </w:rPr>
        <w:t>次</w:t>
      </w:r>
      <w:r>
        <w:rPr>
          <w:rFonts w:eastAsia="仿宋"/>
          <w:kern w:val="0"/>
          <w:szCs w:val="32"/>
        </w:rPr>
        <w:t>最大</w:t>
      </w:r>
      <w:r>
        <w:rPr>
          <w:rFonts w:hint="eastAsia" w:eastAsia="仿宋"/>
          <w:kern w:val="0"/>
          <w:szCs w:val="32"/>
          <w:lang w:eastAsia="zh-CN"/>
        </w:rPr>
        <w:t>加工</w:t>
      </w:r>
      <w:r>
        <w:rPr>
          <w:rFonts w:eastAsia="仿宋"/>
          <w:kern w:val="0"/>
          <w:szCs w:val="32"/>
        </w:rPr>
        <w:t>份数之比应为1:2.5；面积400—800㎡，面积与单</w:t>
      </w:r>
      <w:r>
        <w:rPr>
          <w:rFonts w:hint="eastAsia" w:eastAsia="仿宋"/>
          <w:kern w:val="0"/>
          <w:szCs w:val="32"/>
          <w:lang w:eastAsia="zh-CN"/>
        </w:rPr>
        <w:t>次</w:t>
      </w:r>
      <w:r>
        <w:rPr>
          <w:rFonts w:eastAsia="仿宋"/>
          <w:kern w:val="0"/>
          <w:szCs w:val="32"/>
        </w:rPr>
        <w:t>最大</w:t>
      </w:r>
      <w:r>
        <w:rPr>
          <w:rFonts w:hint="eastAsia" w:eastAsia="仿宋"/>
          <w:kern w:val="0"/>
          <w:szCs w:val="32"/>
          <w:lang w:eastAsia="zh-CN"/>
        </w:rPr>
        <w:t>加工</w:t>
      </w:r>
      <w:r>
        <w:rPr>
          <w:rFonts w:eastAsia="仿宋"/>
          <w:kern w:val="0"/>
          <w:szCs w:val="32"/>
        </w:rPr>
        <w:t>份数之比为1:4；面积大于800—</w:t>
      </w:r>
      <w:r>
        <w:rPr>
          <w:rFonts w:hint="eastAsia" w:eastAsia="仿宋"/>
          <w:kern w:val="0"/>
          <w:szCs w:val="32"/>
        </w:rPr>
        <w:t>1500</w:t>
      </w:r>
      <w:r>
        <w:rPr>
          <w:rFonts w:eastAsia="仿宋"/>
          <w:kern w:val="0"/>
          <w:szCs w:val="32"/>
        </w:rPr>
        <w:t>㎡的，其面积与</w:t>
      </w:r>
      <w:r>
        <w:rPr>
          <w:rFonts w:hint="eastAsia" w:eastAsia="仿宋"/>
          <w:kern w:val="0"/>
          <w:szCs w:val="32"/>
        </w:rPr>
        <w:t>单</w:t>
      </w:r>
      <w:r>
        <w:rPr>
          <w:rFonts w:hint="eastAsia" w:eastAsia="仿宋"/>
          <w:kern w:val="0"/>
          <w:szCs w:val="32"/>
          <w:lang w:eastAsia="zh-CN"/>
        </w:rPr>
        <w:t>次</w:t>
      </w:r>
      <w:r>
        <w:rPr>
          <w:rFonts w:eastAsia="仿宋"/>
          <w:kern w:val="0"/>
          <w:szCs w:val="32"/>
        </w:rPr>
        <w:t>最大</w:t>
      </w:r>
      <w:r>
        <w:rPr>
          <w:rFonts w:hint="eastAsia" w:eastAsia="仿宋"/>
          <w:kern w:val="0"/>
          <w:szCs w:val="32"/>
          <w:lang w:eastAsia="zh-CN"/>
        </w:rPr>
        <w:t>加工</w:t>
      </w:r>
      <w:r>
        <w:rPr>
          <w:rFonts w:eastAsia="仿宋"/>
          <w:kern w:val="0"/>
          <w:szCs w:val="32"/>
        </w:rPr>
        <w:t>份数之比</w:t>
      </w:r>
      <w:r>
        <w:rPr>
          <w:rFonts w:hint="eastAsia" w:eastAsia="仿宋"/>
          <w:kern w:val="0"/>
          <w:szCs w:val="32"/>
        </w:rPr>
        <w:t>为</w:t>
      </w:r>
      <w:r>
        <w:rPr>
          <w:rFonts w:eastAsia="仿宋"/>
          <w:kern w:val="0"/>
          <w:szCs w:val="32"/>
        </w:rPr>
        <w:t>1:</w:t>
      </w:r>
      <w:r>
        <w:rPr>
          <w:rFonts w:hint="eastAsia" w:eastAsia="仿宋"/>
          <w:kern w:val="0"/>
          <w:szCs w:val="32"/>
        </w:rPr>
        <w:t>5；面积大于1500㎡，其面积与单</w:t>
      </w:r>
      <w:r>
        <w:rPr>
          <w:rFonts w:hint="eastAsia" w:eastAsia="仿宋"/>
          <w:kern w:val="0"/>
          <w:szCs w:val="32"/>
          <w:lang w:eastAsia="zh-CN"/>
        </w:rPr>
        <w:t>次</w:t>
      </w:r>
      <w:r>
        <w:rPr>
          <w:rFonts w:hint="eastAsia" w:eastAsia="仿宋"/>
          <w:kern w:val="0"/>
          <w:szCs w:val="32"/>
        </w:rPr>
        <w:t>最大</w:t>
      </w:r>
      <w:r>
        <w:rPr>
          <w:rFonts w:hint="eastAsia" w:eastAsia="仿宋"/>
          <w:kern w:val="0"/>
          <w:szCs w:val="32"/>
          <w:lang w:eastAsia="zh-CN"/>
        </w:rPr>
        <w:t>加工</w:t>
      </w:r>
      <w:r>
        <w:rPr>
          <w:rFonts w:hint="eastAsia" w:eastAsia="仿宋"/>
          <w:kern w:val="0"/>
          <w:szCs w:val="32"/>
        </w:rPr>
        <w:t>份数之比为1:6</w:t>
      </w:r>
      <w:r>
        <w:rPr>
          <w:rFonts w:hint="eastAsia" w:eastAsia="仿宋"/>
          <w:kern w:val="0"/>
          <w:szCs w:val="32"/>
          <w:lang w:eastAsia="zh-CN"/>
        </w:rPr>
        <w:t>，食品加工自动化程度较高的，可以适当放宽份数之比。</w:t>
      </w:r>
    </w:p>
    <w:p w14:paraId="60AF2AEF">
      <w:pPr>
        <w:spacing w:line="600" w:lineRule="exact"/>
        <w:ind w:firstLine="560"/>
        <w:rPr>
          <w:rFonts w:eastAsia="仿宋"/>
          <w:kern w:val="0"/>
          <w:szCs w:val="32"/>
        </w:rPr>
      </w:pPr>
      <w:r>
        <w:rPr>
          <w:rFonts w:eastAsia="仿宋"/>
          <w:kern w:val="0"/>
          <w:szCs w:val="32"/>
        </w:rPr>
        <w:t>核定的最大就餐人数或</w:t>
      </w:r>
      <w:r>
        <w:rPr>
          <w:rFonts w:hint="eastAsia" w:eastAsia="仿宋"/>
          <w:kern w:val="0"/>
          <w:szCs w:val="32"/>
        </w:rPr>
        <w:t>单</w:t>
      </w:r>
      <w:r>
        <w:rPr>
          <w:rFonts w:hint="eastAsia" w:eastAsia="仿宋"/>
          <w:kern w:val="0"/>
          <w:szCs w:val="32"/>
          <w:lang w:eastAsia="zh-CN"/>
        </w:rPr>
        <w:t>次最大供餐人数应当</w:t>
      </w:r>
      <w:r>
        <w:rPr>
          <w:rFonts w:eastAsia="仿宋"/>
          <w:kern w:val="0"/>
          <w:szCs w:val="32"/>
        </w:rPr>
        <w:t>在</w:t>
      </w:r>
      <w:r>
        <w:rPr>
          <w:rFonts w:hint="eastAsia" w:eastAsia="仿宋"/>
          <w:kern w:val="0"/>
          <w:szCs w:val="32"/>
        </w:rPr>
        <w:t>《食品经营许可证》右下角以中括号标注。</w:t>
      </w:r>
    </w:p>
    <w:p w14:paraId="7E1F5A78">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说明：通则第三十一条规定中央厨房食品制作和贮存场所面积应与制作食品的品种和数量相适应。第三十四条规定</w:t>
      </w:r>
      <w:r>
        <w:rPr>
          <w:rFonts w:hint="eastAsia" w:ascii="方正楷体_GBK" w:hAnsi="方正楷体_GBK" w:eastAsia="方正楷体_GBK" w:cs="方正楷体_GBK"/>
          <w:bCs/>
          <w:sz w:val="28"/>
          <w:szCs w:val="28"/>
          <w:lang w:val="zh-CN"/>
        </w:rPr>
        <w:t>集体用餐配送单位食品处理区面积与单次最大供餐人数相适应，各省、自治区、直辖市市场监督管理部门</w:t>
      </w:r>
      <w:r>
        <w:rPr>
          <w:rFonts w:hint="eastAsia" w:ascii="方正楷体_GBK" w:hAnsi="方正楷体_GBK" w:eastAsia="方正楷体_GBK" w:cs="方正楷体_GBK"/>
          <w:bCs/>
          <w:sz w:val="28"/>
          <w:szCs w:val="28"/>
        </w:rPr>
        <w:t>可依据实际制定面积与供餐人数比例</w:t>
      </w:r>
      <w:r>
        <w:rPr>
          <w:rFonts w:hint="eastAsia" w:ascii="方正楷体_GBK" w:hAnsi="方正楷体_GBK" w:eastAsia="方正楷体_GBK" w:cs="方正楷体_GBK"/>
          <w:bCs/>
          <w:sz w:val="28"/>
          <w:szCs w:val="28"/>
          <w:lang w:val="zh-CN"/>
        </w:rPr>
        <w:t>。中央厨房食品加工量较大，集中用餐单位食堂属于集中时间段供餐，若超出供餐能力，食品加工易产生夹生、中心温度未达到食品安全标准要求，极易产生集体食物中毒事件，</w:t>
      </w:r>
      <w:r>
        <w:rPr>
          <w:rFonts w:hint="eastAsia" w:ascii="方正楷体_GBK" w:hAnsi="方正楷体_GBK" w:eastAsia="方正楷体_GBK" w:cs="方正楷体_GBK"/>
          <w:bCs/>
          <w:sz w:val="28"/>
          <w:szCs w:val="28"/>
        </w:rPr>
        <w:t>本条前三款内容延续原实施细则的规定。第四款规定进行标注，不仅是对经营者进行提示，而且便于经营者接受社会监督，避免超负荷经营。</w:t>
      </w:r>
    </w:p>
    <w:p w14:paraId="3752C08F">
      <w:pPr>
        <w:tabs>
          <w:tab w:val="left" w:pos="3420"/>
          <w:tab w:val="left" w:pos="10620"/>
        </w:tabs>
        <w:adjustRightInd w:val="0"/>
        <w:spacing w:line="580" w:lineRule="exact"/>
        <w:ind w:firstLine="643" w:firstLineChars="200"/>
        <w:textAlignment w:val="baseline"/>
        <w:rPr>
          <w:rFonts w:hint="eastAsia"/>
          <w:lang w:eastAsia="zh-CN"/>
        </w:rPr>
      </w:pPr>
      <w:r>
        <w:rPr>
          <w:rFonts w:eastAsia="仿宋"/>
          <w:b/>
          <w:bCs w:val="0"/>
          <w:kern w:val="0"/>
          <w:sz w:val="32"/>
          <w:szCs w:val="32"/>
        </w:rPr>
        <w:t>第</w:t>
      </w:r>
      <w:r>
        <w:rPr>
          <w:rFonts w:hint="eastAsia" w:eastAsia="仿宋"/>
          <w:b/>
          <w:bCs w:val="0"/>
          <w:kern w:val="0"/>
          <w:sz w:val="32"/>
          <w:szCs w:val="32"/>
        </w:rPr>
        <w:t>十</w:t>
      </w:r>
      <w:r>
        <w:rPr>
          <w:rFonts w:hint="eastAsia" w:eastAsia="仿宋"/>
          <w:b/>
          <w:bCs w:val="0"/>
          <w:kern w:val="0"/>
          <w:sz w:val="32"/>
          <w:szCs w:val="32"/>
          <w:lang w:eastAsia="zh-CN"/>
        </w:rPr>
        <w:t>七</w:t>
      </w:r>
      <w:r>
        <w:rPr>
          <w:rFonts w:eastAsia="仿宋"/>
          <w:b/>
          <w:bCs w:val="0"/>
          <w:kern w:val="0"/>
          <w:sz w:val="32"/>
          <w:szCs w:val="32"/>
        </w:rPr>
        <w:t>条</w:t>
      </w:r>
      <w:r>
        <w:rPr>
          <w:rFonts w:hint="eastAsia" w:eastAsia="仿宋"/>
          <w:b/>
          <w:bCs/>
          <w:kern w:val="0"/>
          <w:szCs w:val="32"/>
        </w:rPr>
        <w:t>（核查</w:t>
      </w:r>
      <w:r>
        <w:rPr>
          <w:rFonts w:hint="eastAsia" w:eastAsia="仿宋"/>
          <w:b/>
          <w:bCs/>
          <w:kern w:val="0"/>
          <w:szCs w:val="32"/>
          <w:lang w:eastAsia="zh-CN"/>
        </w:rPr>
        <w:t>内容</w:t>
      </w:r>
      <w:r>
        <w:rPr>
          <w:rFonts w:hint="eastAsia" w:eastAsia="仿宋"/>
          <w:b/>
          <w:bCs/>
          <w:kern w:val="0"/>
          <w:szCs w:val="32"/>
        </w:rPr>
        <w:t>）</w:t>
      </w:r>
      <w:r>
        <w:rPr>
          <w:rFonts w:hint="eastAsia" w:eastAsia="仿宋"/>
          <w:kern w:val="0"/>
          <w:szCs w:val="32"/>
        </w:rPr>
        <w:t>　现场核查时，核查人员应当</w:t>
      </w:r>
      <w:r>
        <w:rPr>
          <w:rFonts w:hint="eastAsia" w:eastAsia="仿宋"/>
          <w:kern w:val="0"/>
          <w:szCs w:val="32"/>
          <w:lang w:eastAsia="zh-CN"/>
        </w:rPr>
        <w:t>根据</w:t>
      </w:r>
      <w:r>
        <w:rPr>
          <w:rFonts w:hint="eastAsia"/>
        </w:rPr>
        <w:t>主体业态和经营项目</w:t>
      </w:r>
      <w:r>
        <w:rPr>
          <w:rFonts w:hint="eastAsia"/>
          <w:lang w:eastAsia="zh-CN"/>
        </w:rPr>
        <w:t>实施现场核查，核查内容可以存在合理缺项。</w:t>
      </w:r>
    </w:p>
    <w:p w14:paraId="31689EBE">
      <w:pPr>
        <w:widowControl/>
        <w:spacing w:line="500" w:lineRule="exact"/>
        <w:ind w:firstLine="561"/>
        <w:rPr>
          <w:rFonts w:hint="eastAsia"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lang w:val="en-US" w:eastAsia="zh-CN"/>
        </w:rPr>
        <w:t>说明：不同经营者经营项目不同，其经营条件、许可侧重点及要求相应不同，本细则确定了相应类别的现场核查内容（附后），结合信息化管理，核查任务生成时由许可系统根据申请人申报的经营业态和经营项目等自动生成相对应的核查内容。</w:t>
      </w:r>
    </w:p>
    <w:p w14:paraId="65F2EF36">
      <w:pPr>
        <w:widowControl/>
        <w:spacing w:line="600" w:lineRule="exact"/>
        <w:ind w:firstLine="643" w:firstLineChars="200"/>
        <w:rPr>
          <w:rFonts w:hint="eastAsia" w:eastAsia="仿宋"/>
          <w:kern w:val="0"/>
          <w:szCs w:val="32"/>
        </w:rPr>
      </w:pPr>
      <w:r>
        <w:rPr>
          <w:rFonts w:hint="eastAsia" w:eastAsia="仿宋"/>
          <w:b/>
          <w:bCs/>
          <w:kern w:val="0"/>
          <w:szCs w:val="32"/>
        </w:rPr>
        <w:t>第十</w:t>
      </w:r>
      <w:r>
        <w:rPr>
          <w:rFonts w:hint="eastAsia" w:eastAsia="仿宋"/>
          <w:b/>
          <w:bCs/>
          <w:kern w:val="0"/>
          <w:szCs w:val="32"/>
          <w:lang w:eastAsia="zh-CN"/>
        </w:rPr>
        <w:t>八</w:t>
      </w:r>
      <w:r>
        <w:rPr>
          <w:rFonts w:hint="eastAsia" w:eastAsia="仿宋"/>
          <w:b/>
          <w:bCs/>
          <w:kern w:val="0"/>
          <w:szCs w:val="32"/>
        </w:rPr>
        <w:t>条（小餐饮标注）</w:t>
      </w:r>
      <w:r>
        <w:rPr>
          <w:rFonts w:hint="eastAsia" w:eastAsia="仿宋"/>
          <w:kern w:val="0"/>
          <w:szCs w:val="32"/>
        </w:rPr>
        <w:t xml:space="preserve">  小餐饮</w:t>
      </w:r>
      <w:r>
        <w:rPr>
          <w:rFonts w:hint="eastAsia" w:eastAsia="仿宋"/>
          <w:kern w:val="0"/>
          <w:szCs w:val="32"/>
          <w:lang w:eastAsia="zh-CN"/>
        </w:rPr>
        <w:t>应当</w:t>
      </w:r>
      <w:r>
        <w:rPr>
          <w:rFonts w:hint="eastAsia" w:eastAsia="仿宋"/>
          <w:kern w:val="0"/>
          <w:szCs w:val="32"/>
        </w:rPr>
        <w:t>在食品经营许可</w:t>
      </w:r>
      <w:r>
        <w:rPr>
          <w:rFonts w:hint="eastAsia" w:eastAsia="仿宋" w:cs="Times New Roman"/>
          <w:kern w:val="0"/>
          <w:szCs w:val="32"/>
          <w:lang w:eastAsia="zh-CN"/>
        </w:rPr>
        <w:t>证</w:t>
      </w:r>
      <w:r>
        <w:rPr>
          <w:rFonts w:hint="eastAsia" w:eastAsia="仿宋" w:cs="Times New Roman"/>
          <w:kern w:val="0"/>
          <w:szCs w:val="32"/>
          <w:lang w:val="en-US" w:eastAsia="zh-CN"/>
        </w:rPr>
        <w:t>下方居中以方括号</w:t>
      </w:r>
      <w:r>
        <w:rPr>
          <w:rFonts w:hint="eastAsia" w:eastAsia="仿宋" w:cs="Times New Roman"/>
          <w:kern w:val="0"/>
          <w:szCs w:val="32"/>
          <w:lang w:eastAsia="zh-CN"/>
        </w:rPr>
        <w:t>标注</w:t>
      </w:r>
      <w:r>
        <w:rPr>
          <w:rFonts w:hint="eastAsia" w:eastAsia="仿宋"/>
          <w:kern w:val="0"/>
          <w:szCs w:val="32"/>
        </w:rPr>
        <w:t>。</w:t>
      </w:r>
    </w:p>
    <w:p w14:paraId="6D737C1D">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w:t>
      </w:r>
      <w:r>
        <w:rPr>
          <w:rFonts w:hint="eastAsia" w:ascii="方正楷体_GBK" w:hAnsi="方正楷体_GBK" w:eastAsia="方正楷体_GBK" w:cs="方正楷体_GBK"/>
          <w:bCs/>
          <w:sz w:val="28"/>
          <w:szCs w:val="28"/>
          <w:lang w:eastAsia="zh-CN"/>
        </w:rPr>
        <w:t>通则第七十三条规定，</w:t>
      </w:r>
      <w:r>
        <w:rPr>
          <w:rFonts w:hint="eastAsia" w:ascii="方正楷体_GBK" w:hAnsi="方正楷体_GBK" w:eastAsia="方正楷体_GBK" w:cs="方正楷体_GBK"/>
          <w:bCs/>
          <w:sz w:val="28"/>
          <w:szCs w:val="28"/>
          <w:lang w:val="en-US" w:eastAsia="zh-CN"/>
        </w:rPr>
        <w:t>......小餐饮等业态的审查条件由各地结合地方实际制定。</w:t>
      </w:r>
      <w:r>
        <w:rPr>
          <w:rFonts w:hint="eastAsia" w:ascii="方正楷体_GBK" w:hAnsi="方正楷体_GBK" w:eastAsia="方正楷体_GBK" w:cs="方正楷体_GBK"/>
          <w:bCs/>
          <w:sz w:val="28"/>
          <w:szCs w:val="28"/>
          <w:lang w:eastAsia="zh-CN"/>
        </w:rPr>
        <w:t>小餐饮的立法权在各省，总局不对小餐饮的许可作出规定，为了在《食品经营许可证上》对小餐饮有所区别</w:t>
      </w:r>
      <w:r>
        <w:rPr>
          <w:rFonts w:hint="eastAsia" w:ascii="方正楷体_GBK" w:hAnsi="方正楷体_GBK" w:eastAsia="方正楷体_GBK" w:cs="方正楷体_GBK"/>
          <w:bCs/>
          <w:sz w:val="28"/>
          <w:szCs w:val="28"/>
        </w:rPr>
        <w:t>，便于分类管理，采用在食品经营许可证字样的</w:t>
      </w:r>
      <w:r>
        <w:rPr>
          <w:rFonts w:hint="eastAsia" w:ascii="方正楷体_GBK" w:hAnsi="方正楷体_GBK" w:eastAsia="方正楷体_GBK" w:cs="方正楷体_GBK"/>
          <w:bCs/>
          <w:sz w:val="28"/>
          <w:szCs w:val="28"/>
          <w:lang w:eastAsia="zh-CN"/>
        </w:rPr>
        <w:t>居中</w:t>
      </w:r>
      <w:r>
        <w:rPr>
          <w:rFonts w:hint="eastAsia" w:ascii="方正楷体_GBK" w:hAnsi="方正楷体_GBK" w:eastAsia="方正楷体_GBK" w:cs="方正楷体_GBK"/>
          <w:bCs/>
          <w:sz w:val="28"/>
          <w:szCs w:val="28"/>
        </w:rPr>
        <w:t>以</w:t>
      </w:r>
      <w:r>
        <w:rPr>
          <w:rFonts w:hint="eastAsia" w:ascii="方正楷体_GBK" w:hAnsi="方正楷体_GBK" w:eastAsia="方正楷体_GBK" w:cs="方正楷体_GBK"/>
          <w:bCs/>
          <w:sz w:val="28"/>
          <w:szCs w:val="28"/>
          <w:lang w:eastAsia="zh-CN"/>
        </w:rPr>
        <w:t>方</w:t>
      </w:r>
      <w:r>
        <w:rPr>
          <w:rFonts w:hint="eastAsia" w:ascii="方正楷体_GBK" w:hAnsi="方正楷体_GBK" w:eastAsia="方正楷体_GBK" w:cs="方正楷体_GBK"/>
          <w:bCs/>
          <w:sz w:val="28"/>
          <w:szCs w:val="28"/>
        </w:rPr>
        <w:t>括号形式进行标注的模式</w:t>
      </w:r>
      <w:r>
        <w:rPr>
          <w:rFonts w:hint="eastAsia" w:ascii="方正楷体_GBK" w:hAnsi="方正楷体_GBK" w:eastAsia="方正楷体_GBK" w:cs="方正楷体_GBK"/>
          <w:bCs/>
          <w:sz w:val="28"/>
          <w:szCs w:val="28"/>
          <w:lang w:eastAsia="zh-CN"/>
        </w:rPr>
        <w:t>。</w:t>
      </w:r>
    </w:p>
    <w:p w14:paraId="3C2D4A9E">
      <w:pPr>
        <w:spacing w:line="600" w:lineRule="exact"/>
        <w:ind w:firstLine="560"/>
        <w:rPr>
          <w:rFonts w:hint="eastAsia" w:eastAsia="仿宋" w:cs="Times New Roman"/>
          <w:kern w:val="0"/>
          <w:szCs w:val="32"/>
          <w:lang w:eastAsia="zh-CN"/>
        </w:rPr>
      </w:pPr>
      <w:r>
        <w:rPr>
          <w:rFonts w:hint="eastAsia" w:eastAsia="仿宋"/>
          <w:b/>
          <w:bCs/>
          <w:kern w:val="0"/>
          <w:szCs w:val="32"/>
        </w:rPr>
        <w:t>第</w:t>
      </w:r>
      <w:r>
        <w:rPr>
          <w:rFonts w:hint="eastAsia" w:eastAsia="仿宋"/>
          <w:b/>
          <w:bCs/>
          <w:kern w:val="0"/>
          <w:szCs w:val="32"/>
          <w:lang w:eastAsia="zh-CN"/>
        </w:rPr>
        <w:t>十九</w:t>
      </w:r>
      <w:r>
        <w:rPr>
          <w:rFonts w:hint="eastAsia" w:eastAsia="仿宋"/>
          <w:b/>
          <w:bCs/>
          <w:kern w:val="0"/>
          <w:szCs w:val="32"/>
        </w:rPr>
        <w:t>条（</w:t>
      </w:r>
      <w:r>
        <w:rPr>
          <w:rFonts w:hint="eastAsia" w:eastAsia="仿宋"/>
          <w:b/>
          <w:bCs/>
          <w:kern w:val="0"/>
          <w:szCs w:val="32"/>
          <w:lang w:eastAsia="zh-CN"/>
        </w:rPr>
        <w:t>不需标注的情形</w:t>
      </w:r>
      <w:r>
        <w:rPr>
          <w:rFonts w:hint="eastAsia" w:eastAsia="仿宋"/>
          <w:b/>
          <w:bCs/>
          <w:kern w:val="0"/>
          <w:szCs w:val="32"/>
        </w:rPr>
        <w:t>）</w:t>
      </w:r>
      <w:r>
        <w:rPr>
          <w:rFonts w:hint="eastAsia" w:eastAsia="仿宋"/>
          <w:kern w:val="0"/>
          <w:szCs w:val="32"/>
          <w:lang w:val="en-US" w:eastAsia="zh-CN"/>
        </w:rPr>
        <w:t xml:space="preserve">  经营者取得餐饮服务、食品经营管理经营项目的，销售</w:t>
      </w:r>
      <w:r>
        <w:rPr>
          <w:rFonts w:hint="default" w:eastAsia="仿宋" w:cs="Times New Roman"/>
          <w:kern w:val="0"/>
          <w:szCs w:val="32"/>
          <w:u w:val="none"/>
          <w:lang w:eastAsia="zh-CN"/>
        </w:rPr>
        <w:t>预包装食品</w:t>
      </w:r>
      <w:r>
        <w:rPr>
          <w:rFonts w:hint="eastAsia" w:eastAsia="仿宋" w:cs="Times New Roman"/>
          <w:kern w:val="0"/>
          <w:szCs w:val="32"/>
          <w:u w:val="none"/>
          <w:lang w:eastAsia="zh-CN"/>
        </w:rPr>
        <w:t>，不需要在许可证上</w:t>
      </w:r>
      <w:r>
        <w:rPr>
          <w:rFonts w:hint="eastAsia" w:eastAsia="仿宋" w:cs="Times New Roman"/>
          <w:kern w:val="0"/>
          <w:szCs w:val="32"/>
          <w:lang w:eastAsia="zh-CN"/>
        </w:rPr>
        <w:t>标</w:t>
      </w:r>
      <w:r>
        <w:rPr>
          <w:rFonts w:hint="eastAsia" w:eastAsia="仿宋" w:cs="Times New Roman"/>
          <w:kern w:val="0"/>
          <w:szCs w:val="32"/>
          <w:u w:val="none"/>
          <w:lang w:eastAsia="zh-CN"/>
        </w:rPr>
        <w:t>注</w:t>
      </w:r>
      <w:r>
        <w:rPr>
          <w:rFonts w:hint="eastAsia" w:eastAsia="仿宋" w:cs="Times New Roman"/>
          <w:kern w:val="0"/>
          <w:szCs w:val="32"/>
          <w:lang w:eastAsia="zh-CN"/>
        </w:rPr>
        <w:t>食品销售类经营项目。</w:t>
      </w:r>
    </w:p>
    <w:p w14:paraId="10BE42FE">
      <w:pPr>
        <w:spacing w:line="600" w:lineRule="exact"/>
        <w:ind w:firstLine="560"/>
        <w:rPr>
          <w:rFonts w:hint="default"/>
          <w:lang w:eastAsia="zh-CN"/>
        </w:rPr>
      </w:pPr>
      <w:r>
        <w:rPr>
          <w:rFonts w:hint="eastAsia" w:eastAsia="仿宋" w:cs="Times New Roman"/>
          <w:kern w:val="0"/>
          <w:szCs w:val="32"/>
          <w:lang w:eastAsia="zh-CN"/>
        </w:rPr>
        <w:t>餐饮服务经营者、集中用餐单位食堂销售、供应散装食品，不需要在许可证上标</w:t>
      </w:r>
      <w:r>
        <w:rPr>
          <w:rFonts w:hint="eastAsia" w:eastAsia="仿宋" w:cs="Times New Roman"/>
          <w:kern w:val="0"/>
          <w:szCs w:val="32"/>
          <w:u w:val="none"/>
          <w:lang w:eastAsia="zh-CN"/>
        </w:rPr>
        <w:t>注</w:t>
      </w:r>
      <w:r>
        <w:rPr>
          <w:rFonts w:hint="eastAsia" w:eastAsia="仿宋" w:cs="Times New Roman"/>
          <w:kern w:val="0"/>
          <w:szCs w:val="32"/>
          <w:lang w:eastAsia="zh-CN"/>
        </w:rPr>
        <w:t>食品销售类经营项目。</w:t>
      </w:r>
    </w:p>
    <w:p w14:paraId="5B6E0A73">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w:t>
      </w:r>
      <w:r>
        <w:rPr>
          <w:rFonts w:hint="eastAsia" w:ascii="方正楷体_GBK" w:hAnsi="方正楷体_GBK" w:eastAsia="方正楷体_GBK" w:cs="方正楷体_GBK"/>
          <w:bCs/>
          <w:sz w:val="28"/>
          <w:szCs w:val="28"/>
          <w:lang w:eastAsia="zh-CN"/>
        </w:rPr>
        <w:t>：总局办法第二十六条第二款规定：</w:t>
      </w:r>
      <w:r>
        <w:rPr>
          <w:rFonts w:hint="default" w:ascii="方正楷体_GBK" w:hAnsi="方正楷体_GBK" w:eastAsia="方正楷体_GBK" w:cs="方正楷体_GBK"/>
          <w:bCs/>
          <w:sz w:val="28"/>
          <w:szCs w:val="28"/>
          <w:lang w:eastAsia="zh-CN"/>
        </w:rPr>
        <w:t>食品经营者取得餐饮服务、食品经营管理经营项目的，销售预包装食品不需要在许可证上标注食品销售类经营项目。</w:t>
      </w:r>
      <w:r>
        <w:rPr>
          <w:rFonts w:hint="eastAsia" w:ascii="方正楷体_GBK" w:hAnsi="方正楷体_GBK" w:eastAsia="方正楷体_GBK" w:cs="方正楷体_GBK"/>
          <w:bCs/>
          <w:sz w:val="28"/>
          <w:szCs w:val="28"/>
          <w:lang w:eastAsia="zh-CN"/>
        </w:rPr>
        <w:t>本细则将不需标注范围扩大至餐饮服务经营者、集中用餐单位食堂销售、供应散装食品。餐饮服务提供者、单位食堂销售散装熟食或其他散装食品普遍存在，对普遍存在进行标注意义不大，并且按风险就高原则，对高风险的餐饮类食品的管理可以含盖较低风险的散装食品，而且此项规定可减少经营者办理变更的频次以及避免因没有标注散装食品而被投诉的现象，减少基层监管压力。</w:t>
      </w:r>
    </w:p>
    <w:p w14:paraId="5D6B681F">
      <w:pPr>
        <w:widowControl/>
        <w:spacing w:line="500" w:lineRule="exact"/>
        <w:ind w:firstLine="561"/>
        <w:rPr>
          <w:rFonts w:hint="eastAsia" w:eastAsia="仿宋" w:cs="Times New Roman"/>
          <w:kern w:val="0"/>
          <w:szCs w:val="32"/>
        </w:rPr>
      </w:pPr>
      <w:r>
        <w:rPr>
          <w:rFonts w:hint="eastAsia" w:eastAsia="仿宋"/>
          <w:b/>
          <w:bCs w:val="0"/>
          <w:kern w:val="0"/>
          <w:sz w:val="32"/>
          <w:szCs w:val="32"/>
        </w:rPr>
        <w:t>第</w:t>
      </w:r>
      <w:r>
        <w:rPr>
          <w:rFonts w:hint="eastAsia" w:eastAsia="仿宋"/>
          <w:b/>
          <w:bCs w:val="0"/>
          <w:kern w:val="0"/>
          <w:sz w:val="32"/>
          <w:szCs w:val="32"/>
          <w:lang w:eastAsia="zh-CN"/>
        </w:rPr>
        <w:t>二</w:t>
      </w:r>
      <w:r>
        <w:rPr>
          <w:rFonts w:hint="eastAsia" w:eastAsia="仿宋"/>
          <w:b/>
          <w:bCs w:val="0"/>
          <w:kern w:val="0"/>
          <w:sz w:val="32"/>
          <w:szCs w:val="32"/>
        </w:rPr>
        <w:t>十条（许可证有效期）</w:t>
      </w:r>
      <w:r>
        <w:rPr>
          <w:rFonts w:hint="eastAsia" w:eastAsia="仿宋"/>
          <w:b/>
          <w:kern w:val="0"/>
          <w:sz w:val="32"/>
          <w:szCs w:val="32"/>
        </w:rPr>
        <w:t xml:space="preserve">  </w:t>
      </w:r>
      <w:r>
        <w:rPr>
          <w:rFonts w:hint="eastAsia" w:eastAsia="仿宋" w:cs="Times New Roman"/>
          <w:kern w:val="0"/>
          <w:szCs w:val="32"/>
        </w:rPr>
        <w:t>小餐饮食品经营许可证有效期为2年。其他主体业态的食品经营许可证有效期为5年。</w:t>
      </w:r>
    </w:p>
    <w:p w14:paraId="685B8C7C">
      <w:pPr>
        <w:widowControl/>
        <w:spacing w:line="500" w:lineRule="exact"/>
        <w:ind w:firstLine="561"/>
        <w:rPr>
          <w:rFonts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二十三条规定食品生产经营许可证有效期为5年。各省对小餐饮的许可制度不同，或许可或备案或登记。一直以来我省小餐饮实施的是许可制度，核发食品经营许可证，有效期为5年。因小餐饮周转率、关停率高，很多小餐饮停止经营后经营者不办理主体资格和食品经营许可注销手续，以致全省积累了大量的“</w:t>
      </w:r>
      <w:r>
        <w:rPr>
          <w:rFonts w:hint="eastAsia" w:ascii="方正楷体_GBK" w:hAnsi="方正楷体_GBK" w:eastAsia="方正楷体_GBK" w:cs="方正楷体_GBK"/>
          <w:bCs/>
          <w:sz w:val="28"/>
          <w:szCs w:val="28"/>
          <w:lang w:eastAsia="zh-CN"/>
        </w:rPr>
        <w:t>非正常经营</w:t>
      </w:r>
      <w:r>
        <w:rPr>
          <w:rFonts w:hint="eastAsia" w:ascii="方正楷体_GBK" w:hAnsi="方正楷体_GBK" w:eastAsia="方正楷体_GBK" w:cs="方正楷体_GBK"/>
          <w:bCs/>
          <w:sz w:val="28"/>
          <w:szCs w:val="28"/>
        </w:rPr>
        <w:t>户”，不仅使有效数据失真，而且也不利于行政资源的高效分配，目前较有效的办法是适当缩短许可证的有效期，“僵尸户”许可证到期自动失效，继续经营的小餐饮办理延续，全流程网上办理的途径可为经营户申请延续提供便利。</w:t>
      </w:r>
    </w:p>
    <w:p w14:paraId="1443DC03">
      <w:pPr>
        <w:widowControl/>
        <w:spacing w:line="600" w:lineRule="exact"/>
        <w:ind w:firstLine="643" w:firstLineChars="200"/>
        <w:rPr>
          <w:rFonts w:hint="eastAsia" w:ascii="仿宋" w:hAnsi="仿宋" w:eastAsia="仿宋" w:cs="仿宋"/>
          <w:bCs/>
          <w:szCs w:val="32"/>
        </w:rPr>
      </w:pPr>
      <w:r>
        <w:rPr>
          <w:rFonts w:hint="eastAsia" w:ascii="仿宋" w:hAnsi="仿宋" w:eastAsia="仿宋" w:cs="仿宋"/>
          <w:b/>
          <w:szCs w:val="32"/>
        </w:rPr>
        <w:t>第</w:t>
      </w:r>
      <w:r>
        <w:rPr>
          <w:rFonts w:hint="eastAsia" w:ascii="仿宋" w:hAnsi="仿宋" w:eastAsia="仿宋" w:cs="仿宋"/>
          <w:b/>
          <w:szCs w:val="32"/>
          <w:lang w:eastAsia="zh-CN"/>
        </w:rPr>
        <w:t>二十一</w:t>
      </w:r>
      <w:r>
        <w:rPr>
          <w:rFonts w:hint="eastAsia" w:ascii="仿宋" w:hAnsi="仿宋" w:eastAsia="仿宋" w:cs="仿宋"/>
          <w:b/>
          <w:szCs w:val="32"/>
        </w:rPr>
        <w:t>条（变更和延续同时申请）</w:t>
      </w:r>
      <w:r>
        <w:rPr>
          <w:rFonts w:hint="eastAsia" w:ascii="仿宋" w:hAnsi="仿宋" w:eastAsia="仿宋" w:cs="仿宋"/>
          <w:bCs/>
          <w:szCs w:val="32"/>
        </w:rPr>
        <w:t xml:space="preserve">  食品经营者在延续食品经营许可的同时提出变更申请的，可以同时</w:t>
      </w:r>
      <w:r>
        <w:rPr>
          <w:rFonts w:hint="eastAsia" w:ascii="仿宋" w:hAnsi="仿宋" w:eastAsia="仿宋" w:cs="仿宋"/>
          <w:bCs/>
          <w:szCs w:val="32"/>
          <w:lang w:eastAsia="zh-CN"/>
        </w:rPr>
        <w:t>提交</w:t>
      </w:r>
      <w:r>
        <w:rPr>
          <w:rFonts w:hint="eastAsia" w:ascii="仿宋" w:hAnsi="仿宋" w:eastAsia="仿宋" w:cs="仿宋"/>
          <w:bCs/>
          <w:szCs w:val="32"/>
        </w:rPr>
        <w:t>变更和延续所需的材料。</w:t>
      </w:r>
    </w:p>
    <w:p w14:paraId="73CC2C74">
      <w:pPr>
        <w:widowControl/>
        <w:spacing w:line="600" w:lineRule="exact"/>
        <w:ind w:firstLine="643" w:firstLineChars="200"/>
        <w:rPr>
          <w:rFonts w:hint="eastAsia" w:eastAsia="仿宋"/>
          <w:kern w:val="0"/>
          <w:szCs w:val="32"/>
          <w:lang w:eastAsia="zh-CN"/>
        </w:rPr>
      </w:pPr>
      <w:r>
        <w:rPr>
          <w:rFonts w:hint="eastAsia" w:eastAsia="仿宋"/>
          <w:b/>
          <w:bCs/>
          <w:kern w:val="0"/>
          <w:szCs w:val="32"/>
        </w:rPr>
        <w:t>第</w:t>
      </w:r>
      <w:r>
        <w:rPr>
          <w:rFonts w:hint="eastAsia" w:eastAsia="仿宋"/>
          <w:b/>
          <w:bCs/>
          <w:kern w:val="0"/>
          <w:szCs w:val="32"/>
          <w:lang w:eastAsia="zh-CN"/>
        </w:rPr>
        <w:t>二</w:t>
      </w:r>
      <w:r>
        <w:rPr>
          <w:rFonts w:hint="eastAsia" w:eastAsia="仿宋"/>
          <w:b/>
          <w:bCs/>
          <w:kern w:val="0"/>
          <w:szCs w:val="32"/>
        </w:rPr>
        <w:t>十</w:t>
      </w:r>
      <w:r>
        <w:rPr>
          <w:rFonts w:hint="eastAsia" w:eastAsia="仿宋"/>
          <w:b/>
          <w:bCs/>
          <w:kern w:val="0"/>
          <w:szCs w:val="32"/>
          <w:lang w:eastAsia="zh-CN"/>
        </w:rPr>
        <w:t>二</w:t>
      </w:r>
      <w:r>
        <w:rPr>
          <w:rFonts w:hint="eastAsia" w:eastAsia="仿宋"/>
          <w:b/>
          <w:bCs/>
          <w:kern w:val="0"/>
          <w:szCs w:val="32"/>
        </w:rPr>
        <w:t>条（依职权注销）</w:t>
      </w:r>
      <w:r>
        <w:rPr>
          <w:rFonts w:hint="eastAsia" w:eastAsia="仿宋"/>
          <w:kern w:val="0"/>
          <w:szCs w:val="32"/>
        </w:rPr>
        <w:t xml:space="preserve">  </w:t>
      </w:r>
      <w:r>
        <w:rPr>
          <w:rFonts w:hint="eastAsia" w:eastAsia="仿宋"/>
          <w:kern w:val="0"/>
          <w:szCs w:val="32"/>
          <w:lang w:val="en-US" w:eastAsia="zh-CN"/>
        </w:rPr>
        <w:t>对符合《食品经营许可和备案管理办法》第三十九条第三、四、五款规定情形的，原发证的市场监督管理部门应当通过公示平台或政府网站等方式向社会公告，公告内容包括拟依职权注销的主体名称、食品经营许可证编号，拟作出依职权注销决定的事实、理由和依据，依职权注销的法律后果以及该商事主体依法享有的权利。公告期为三十日。公告期满无异议的，许可机关作出依职权注销决定，并向社会公示。对符合《食品经营许可和备案管理办法》第三十九条第一款和第二款规定情形的，原发证的市场监督管理部门直接办理食品经营许可注销手续，无需公告和公示。</w:t>
      </w:r>
    </w:p>
    <w:p w14:paraId="1A7C28FF">
      <w:pPr>
        <w:widowControl/>
        <w:spacing w:line="500" w:lineRule="exact"/>
        <w:ind w:firstLine="561"/>
        <w:rPr>
          <w:rFonts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说明：总局办法第39条规定，有下列情形之一的，原发证的市场监督管理部门应当依法办理食品经营许可注销手续。具体如何办理，没有相关规定，第39条规定内容均是监管部门依职权应当注销的情形，</w:t>
      </w:r>
      <w:r>
        <w:rPr>
          <w:rFonts w:hint="eastAsia" w:ascii="方正楷体_GBK" w:hAnsi="方正楷体_GBK" w:eastAsia="方正楷体_GBK" w:cs="方正楷体_GBK"/>
          <w:bCs/>
          <w:sz w:val="28"/>
          <w:szCs w:val="28"/>
          <w:lang w:eastAsia="zh-CN"/>
        </w:rPr>
        <w:t>本细则将依职权注销的情形分为两种：一种是许可期满或主体资格格终止的，许可部门直接办理注销。另一种是由监管部门作出的吊销等决定终止许可的，参考了</w:t>
      </w:r>
      <w:r>
        <w:rPr>
          <w:rFonts w:hint="eastAsia" w:ascii="方正楷体_GBK" w:hAnsi="方正楷体_GBK" w:eastAsia="方正楷体_GBK" w:cs="方正楷体_GBK"/>
          <w:bCs/>
          <w:sz w:val="28"/>
          <w:szCs w:val="28"/>
        </w:rPr>
        <w:t>商事主体注销程序</w:t>
      </w:r>
      <w:r>
        <w:rPr>
          <w:rFonts w:hint="eastAsia" w:ascii="方正楷体_GBK" w:hAnsi="方正楷体_GBK" w:eastAsia="方正楷体_GBK" w:cs="方正楷体_GBK"/>
          <w:bCs/>
          <w:sz w:val="28"/>
          <w:szCs w:val="28"/>
          <w:lang w:eastAsia="zh-CN"/>
        </w:rPr>
        <w:t>的作法，予以先公告后注销。</w:t>
      </w:r>
    </w:p>
    <w:p w14:paraId="4C32E02B">
      <w:pPr>
        <w:widowControl/>
        <w:spacing w:line="600" w:lineRule="exact"/>
        <w:ind w:firstLine="643" w:firstLineChars="200"/>
        <w:rPr>
          <w:rFonts w:hint="eastAsia" w:eastAsia="仿宋" w:cs="Times New Roman"/>
          <w:kern w:val="0"/>
          <w:szCs w:val="32"/>
          <w:lang w:eastAsia="zh-CN"/>
        </w:rPr>
      </w:pPr>
      <w:r>
        <w:rPr>
          <w:rFonts w:hint="eastAsia" w:eastAsia="仿宋"/>
          <w:b/>
          <w:bCs/>
          <w:kern w:val="0"/>
          <w:szCs w:val="32"/>
        </w:rPr>
        <w:t>第二十</w:t>
      </w:r>
      <w:r>
        <w:rPr>
          <w:rFonts w:hint="eastAsia" w:eastAsia="仿宋"/>
          <w:b/>
          <w:bCs/>
          <w:kern w:val="0"/>
          <w:szCs w:val="32"/>
          <w:lang w:eastAsia="zh-CN"/>
        </w:rPr>
        <w:t>三</w:t>
      </w:r>
      <w:r>
        <w:rPr>
          <w:rFonts w:hint="eastAsia" w:eastAsia="仿宋"/>
          <w:b/>
          <w:bCs/>
          <w:kern w:val="0"/>
          <w:szCs w:val="32"/>
        </w:rPr>
        <w:t>条（纸质许可证）</w:t>
      </w:r>
      <w:r>
        <w:rPr>
          <w:rFonts w:hint="eastAsia" w:eastAsia="仿宋"/>
          <w:kern w:val="0"/>
          <w:szCs w:val="32"/>
        </w:rPr>
        <w:t xml:space="preserve">  食品经营者</w:t>
      </w:r>
      <w:r>
        <w:rPr>
          <w:rFonts w:hint="eastAsia" w:eastAsia="仿宋"/>
          <w:kern w:val="0"/>
          <w:szCs w:val="32"/>
          <w:lang w:eastAsia="zh-CN"/>
        </w:rPr>
        <w:t>取得纸质</w:t>
      </w:r>
      <w:r>
        <w:rPr>
          <w:rFonts w:hint="eastAsia" w:eastAsia="仿宋" w:cs="Times New Roman"/>
          <w:kern w:val="0"/>
          <w:szCs w:val="32"/>
          <w:lang w:eastAsia="zh-CN"/>
        </w:rPr>
        <w:t>食品经营许可正本、副本的，申请办理食品经营许可变更、延续、补办（除遗失）、注销时，应在领取新证时交回原证。</w:t>
      </w:r>
    </w:p>
    <w:p w14:paraId="3C32718A">
      <w:pPr>
        <w:widowControl/>
        <w:spacing w:line="500" w:lineRule="exact"/>
        <w:ind w:firstLine="561"/>
        <w:rPr>
          <w:rFonts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w:t>
      </w:r>
      <w:r>
        <w:rPr>
          <w:rFonts w:hint="eastAsia" w:ascii="方正楷体_GBK" w:hAnsi="方正楷体_GBK" w:eastAsia="方正楷体_GBK" w:cs="方正楷体_GBK"/>
          <w:bCs/>
          <w:sz w:val="28"/>
          <w:szCs w:val="28"/>
          <w:lang w:eastAsia="zh-CN"/>
        </w:rPr>
        <w:t>第三十一、三十三、三十七、三十八条</w:t>
      </w:r>
      <w:r>
        <w:rPr>
          <w:rFonts w:hint="eastAsia" w:ascii="方正楷体_GBK" w:hAnsi="方正楷体_GBK" w:eastAsia="方正楷体_GBK" w:cs="方正楷体_GBK"/>
          <w:bCs/>
          <w:sz w:val="28"/>
          <w:szCs w:val="28"/>
        </w:rPr>
        <w:t>规定食品经营者</w:t>
      </w:r>
      <w:r>
        <w:rPr>
          <w:rFonts w:hint="eastAsia" w:ascii="方正楷体_GBK" w:hAnsi="方正楷体_GBK" w:eastAsia="方正楷体_GBK" w:cs="方正楷体_GBK"/>
          <w:bCs/>
          <w:sz w:val="28"/>
          <w:szCs w:val="28"/>
          <w:lang w:eastAsia="zh-CN"/>
        </w:rPr>
        <w:t>取得纸质食品经营许可正本、副本的，办理</w:t>
      </w:r>
      <w:r>
        <w:rPr>
          <w:rFonts w:hint="eastAsia" w:ascii="方正楷体_GBK" w:hAnsi="方正楷体_GBK" w:eastAsia="方正楷体_GBK" w:cs="方正楷体_GBK"/>
          <w:bCs/>
          <w:sz w:val="28"/>
          <w:szCs w:val="28"/>
        </w:rPr>
        <w:t>变更、延续、补办、注销时应当</w:t>
      </w:r>
      <w:r>
        <w:rPr>
          <w:rFonts w:hint="eastAsia" w:ascii="方正楷体_GBK" w:hAnsi="方正楷体_GBK" w:eastAsia="方正楷体_GBK" w:cs="方正楷体_GBK"/>
          <w:bCs/>
          <w:sz w:val="28"/>
          <w:szCs w:val="28"/>
          <w:lang w:eastAsia="zh-CN"/>
        </w:rPr>
        <w:t>同时</w:t>
      </w:r>
      <w:r>
        <w:rPr>
          <w:rFonts w:hint="eastAsia" w:ascii="方正楷体_GBK" w:hAnsi="方正楷体_GBK" w:eastAsia="方正楷体_GBK" w:cs="方正楷体_GBK"/>
          <w:bCs/>
          <w:sz w:val="28"/>
          <w:szCs w:val="28"/>
        </w:rPr>
        <w:t>提交原证</w:t>
      </w:r>
      <w:r>
        <w:rPr>
          <w:rFonts w:hint="eastAsia" w:ascii="方正楷体_GBK" w:hAnsi="方正楷体_GBK" w:eastAsia="方正楷体_GBK" w:cs="方正楷体_GBK"/>
          <w:bCs/>
          <w:sz w:val="28"/>
          <w:szCs w:val="28"/>
          <w:lang w:eastAsia="zh-CN"/>
        </w:rPr>
        <w:t>。本细则规定经营者可在</w:t>
      </w:r>
      <w:r>
        <w:rPr>
          <w:rFonts w:hint="eastAsia" w:ascii="方正楷体_GBK" w:hAnsi="方正楷体_GBK" w:eastAsia="方正楷体_GBK" w:cs="方正楷体_GBK"/>
          <w:bCs/>
          <w:sz w:val="28"/>
          <w:szCs w:val="28"/>
          <w:lang w:val="en-US" w:eastAsia="zh-CN"/>
        </w:rPr>
        <w:t>领取新证时交回原证比较便利经营者，并且在新许可办理期间经营者依然可持原证经营</w:t>
      </w:r>
      <w:r>
        <w:rPr>
          <w:rFonts w:hint="eastAsia" w:ascii="方正楷体_GBK" w:hAnsi="方正楷体_GBK" w:eastAsia="方正楷体_GBK" w:cs="方正楷体_GBK"/>
          <w:bCs/>
          <w:sz w:val="28"/>
          <w:szCs w:val="28"/>
        </w:rPr>
        <w:t>。</w:t>
      </w:r>
    </w:p>
    <w:p w14:paraId="6495B345">
      <w:pPr>
        <w:widowControl/>
        <w:spacing w:line="600" w:lineRule="exact"/>
        <w:ind w:firstLine="640"/>
        <w:rPr>
          <w:rFonts w:hint="eastAsia" w:eastAsia="仿宋"/>
          <w:kern w:val="0"/>
          <w:szCs w:val="32"/>
        </w:rPr>
      </w:pPr>
      <w:r>
        <w:rPr>
          <w:rFonts w:hint="eastAsia" w:eastAsia="仿宋"/>
          <w:b/>
          <w:bCs/>
          <w:kern w:val="0"/>
          <w:szCs w:val="32"/>
        </w:rPr>
        <w:t>第二十</w:t>
      </w:r>
      <w:r>
        <w:rPr>
          <w:rFonts w:hint="eastAsia" w:eastAsia="仿宋"/>
          <w:b/>
          <w:bCs/>
          <w:kern w:val="0"/>
          <w:szCs w:val="32"/>
          <w:lang w:eastAsia="zh-CN"/>
        </w:rPr>
        <w:t>四</w:t>
      </w:r>
      <w:r>
        <w:rPr>
          <w:rFonts w:hint="eastAsia" w:eastAsia="仿宋"/>
          <w:b/>
          <w:bCs/>
          <w:kern w:val="0"/>
          <w:szCs w:val="32"/>
        </w:rPr>
        <w:t>条（食品展销会报告）</w:t>
      </w:r>
      <w:r>
        <w:rPr>
          <w:rFonts w:hint="eastAsia" w:eastAsia="仿宋"/>
          <w:kern w:val="0"/>
          <w:szCs w:val="32"/>
        </w:rPr>
        <w:t xml:space="preserve">  食品展销会的举办者（主办方或者</w:t>
      </w:r>
      <w:r>
        <w:rPr>
          <w:rFonts w:hint="eastAsia" w:eastAsia="仿宋"/>
          <w:kern w:val="0"/>
          <w:szCs w:val="32"/>
          <w:lang w:eastAsia="zh-CN"/>
        </w:rPr>
        <w:t>承办</w:t>
      </w:r>
      <w:r>
        <w:rPr>
          <w:rFonts w:hint="eastAsia" w:eastAsia="仿宋"/>
          <w:kern w:val="0"/>
          <w:szCs w:val="32"/>
        </w:rPr>
        <w:t>方）应当在展销会举办前十五个工作日</w:t>
      </w:r>
      <w:r>
        <w:rPr>
          <w:rFonts w:hint="eastAsia" w:eastAsia="仿宋"/>
          <w:kern w:val="0"/>
          <w:szCs w:val="32"/>
          <w:lang w:val="en-US" w:eastAsia="zh-CN"/>
        </w:rPr>
        <w:t>至举办前七个工作日</w:t>
      </w:r>
      <w:r>
        <w:rPr>
          <w:rFonts w:hint="eastAsia" w:eastAsia="仿宋"/>
          <w:kern w:val="0"/>
          <w:szCs w:val="32"/>
        </w:rPr>
        <w:t>内，向所在地县级市场监督管理部门报告，报告内容包括展销会名称、地址、起止日期、食品经营区域布局图及各分区经营项目、展销会举办者食品安全管理制度目录及入场食品经营者主体信息核验情况、食品安全管理人员信息、联系人及联系方式等信息。</w:t>
      </w:r>
    </w:p>
    <w:p w14:paraId="0A9C3C79">
      <w:pPr>
        <w:widowControl/>
        <w:spacing w:line="500" w:lineRule="exact"/>
        <w:ind w:firstLine="561"/>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总局办法第六条规定：食品展销会的举办者应当在展销会举办前十五个工作日内，向所在地县级市场监督管理部门报告食品经营区域布局、经营项目、经营期限、食品安全管理制度以及入场食品经营者主体信息核验情况等。法律、法规、规章或者县级以上地方人民政府有规定的，依照其规定。</w:t>
      </w:r>
      <w:r>
        <w:rPr>
          <w:rFonts w:hint="eastAsia" w:ascii="方正楷体_GBK" w:hAnsi="方正楷体_GBK" w:eastAsia="方正楷体_GBK" w:cs="方正楷体_GBK"/>
          <w:bCs/>
          <w:sz w:val="28"/>
          <w:szCs w:val="28"/>
          <w:lang w:eastAsia="zh-CN"/>
        </w:rPr>
        <w:t>本条细化报告内容。</w:t>
      </w:r>
    </w:p>
    <w:p w14:paraId="1801A3C2">
      <w:pPr>
        <w:widowControl/>
        <w:spacing w:line="600" w:lineRule="exact"/>
        <w:ind w:firstLine="640"/>
        <w:rPr>
          <w:rFonts w:hint="eastAsia" w:eastAsia="仿宋"/>
          <w:kern w:val="0"/>
          <w:szCs w:val="32"/>
          <w:u w:val="none"/>
        </w:rPr>
      </w:pPr>
      <w:r>
        <w:rPr>
          <w:rFonts w:hint="eastAsia" w:eastAsia="仿宋"/>
          <w:b/>
          <w:bCs/>
          <w:kern w:val="0"/>
          <w:szCs w:val="32"/>
          <w:u w:val="none"/>
        </w:rPr>
        <w:t>第二十</w:t>
      </w:r>
      <w:r>
        <w:rPr>
          <w:rFonts w:hint="eastAsia" w:eastAsia="仿宋"/>
          <w:b/>
          <w:bCs/>
          <w:kern w:val="0"/>
          <w:szCs w:val="32"/>
          <w:u w:val="none"/>
          <w:lang w:eastAsia="zh-CN"/>
        </w:rPr>
        <w:t>五</w:t>
      </w:r>
      <w:r>
        <w:rPr>
          <w:rFonts w:hint="eastAsia" w:eastAsia="仿宋"/>
          <w:b/>
          <w:bCs/>
          <w:kern w:val="0"/>
          <w:szCs w:val="32"/>
          <w:u w:val="none"/>
        </w:rPr>
        <w:t>条（利用自动设备跨省经营、跨省从事食品经营管理报告）</w:t>
      </w:r>
      <w:r>
        <w:rPr>
          <w:rFonts w:hint="eastAsia" w:eastAsia="仿宋"/>
          <w:kern w:val="0"/>
          <w:szCs w:val="32"/>
          <w:u w:val="none"/>
        </w:rPr>
        <w:t xml:space="preserve"> 利用自动设备跨省经营或者跨省从事食品经营管理活动的经营者应当在跨省开展经营活动之日起十个工作日内办理报告</w:t>
      </w:r>
      <w:r>
        <w:rPr>
          <w:rFonts w:hint="eastAsia" w:eastAsia="仿宋"/>
          <w:kern w:val="0"/>
          <w:szCs w:val="32"/>
          <w:u w:val="none"/>
          <w:lang w:eastAsia="zh-CN"/>
        </w:rPr>
        <w:t>。</w:t>
      </w:r>
      <w:r>
        <w:rPr>
          <w:rFonts w:hint="eastAsia" w:eastAsia="仿宋"/>
          <w:kern w:val="0"/>
          <w:szCs w:val="32"/>
          <w:u w:val="none"/>
        </w:rPr>
        <w:t>报告内容包括</w:t>
      </w:r>
      <w:r>
        <w:rPr>
          <w:rFonts w:hint="eastAsia" w:eastAsia="仿宋"/>
          <w:kern w:val="0"/>
          <w:szCs w:val="32"/>
          <w:u w:val="none"/>
          <w:lang w:eastAsia="zh-CN"/>
        </w:rPr>
        <w:t>经营者名称、食品经营许可信息、跨省投放设备地区或跨省从事经营管理活动的地区、企业负责人联系电话、食品安全管理员姓名及联系电话</w:t>
      </w:r>
      <w:r>
        <w:rPr>
          <w:rFonts w:hint="eastAsia" w:eastAsia="仿宋"/>
          <w:kern w:val="0"/>
          <w:szCs w:val="32"/>
          <w:u w:val="none"/>
        </w:rPr>
        <w:t>等信息。</w:t>
      </w:r>
    </w:p>
    <w:p w14:paraId="0545E52A">
      <w:pPr>
        <w:widowControl/>
        <w:spacing w:line="500" w:lineRule="exact"/>
        <w:ind w:firstLine="561"/>
        <w:rPr>
          <w:rFonts w:hint="eastAsia" w:eastAsia="仿宋"/>
          <w:kern w:val="0"/>
          <w:szCs w:val="32"/>
          <w:u w:val="none"/>
          <w:lang w:val="en-US" w:eastAsia="zh-CN"/>
        </w:rPr>
      </w:pPr>
      <w:r>
        <w:rPr>
          <w:rFonts w:hint="eastAsia" w:eastAsia="仿宋"/>
          <w:kern w:val="0"/>
          <w:szCs w:val="32"/>
          <w:u w:val="none"/>
          <w:lang w:val="en-US" w:eastAsia="zh-CN"/>
        </w:rPr>
        <w:t>报告事项发生变化的应当重新办理报告。</w:t>
      </w:r>
    </w:p>
    <w:p w14:paraId="2E50D80C">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七条第二款规定：利用自动设备跨省经营的，应当分别向经营者所在地和自动设备放置地点所在地省级市场监督管理部门报告。跨省从事食品经营管理活动的，应当分别向经营者所在地和从事经营管理活动所在地省级市场监督管理部门报告。</w:t>
      </w:r>
      <w:r>
        <w:rPr>
          <w:rFonts w:hint="eastAsia" w:ascii="方正楷体_GBK" w:hAnsi="方正楷体_GBK" w:eastAsia="方正楷体_GBK" w:cs="方正楷体_GBK"/>
          <w:bCs/>
          <w:sz w:val="28"/>
          <w:szCs w:val="28"/>
          <w:lang w:eastAsia="zh-CN"/>
        </w:rPr>
        <w:t>本条明确报告内容，报告</w:t>
      </w:r>
      <w:r>
        <w:rPr>
          <w:rFonts w:hint="eastAsia" w:ascii="方正楷体_GBK" w:hAnsi="方正楷体_GBK" w:eastAsia="方正楷体_GBK" w:cs="方正楷体_GBK"/>
          <w:bCs/>
          <w:sz w:val="28"/>
          <w:szCs w:val="28"/>
        </w:rPr>
        <w:t>时</w:t>
      </w:r>
      <w:r>
        <w:rPr>
          <w:rFonts w:hint="eastAsia" w:ascii="方正楷体_GBK" w:hAnsi="方正楷体_GBK" w:eastAsia="方正楷体_GBK" w:cs="方正楷体_GBK"/>
          <w:bCs/>
          <w:sz w:val="28"/>
          <w:szCs w:val="28"/>
          <w:lang w:eastAsia="zh-CN"/>
        </w:rPr>
        <w:t>间</w:t>
      </w:r>
      <w:r>
        <w:rPr>
          <w:rFonts w:hint="eastAsia" w:ascii="方正楷体_GBK" w:hAnsi="方正楷体_GBK" w:eastAsia="方正楷体_GBK" w:cs="方正楷体_GBK"/>
          <w:bCs/>
          <w:sz w:val="28"/>
          <w:szCs w:val="28"/>
        </w:rPr>
        <w:t>以开展相关</w:t>
      </w:r>
      <w:r>
        <w:rPr>
          <w:rFonts w:hint="eastAsia" w:ascii="方正楷体_GBK" w:hAnsi="方正楷体_GBK" w:eastAsia="方正楷体_GBK" w:cs="方正楷体_GBK"/>
          <w:bCs/>
          <w:sz w:val="28"/>
          <w:szCs w:val="28"/>
          <w:lang w:eastAsia="zh-CN"/>
        </w:rPr>
        <w:t>经营</w:t>
      </w:r>
      <w:r>
        <w:rPr>
          <w:rFonts w:hint="eastAsia" w:ascii="方正楷体_GBK" w:hAnsi="方正楷体_GBK" w:eastAsia="方正楷体_GBK" w:cs="方正楷体_GBK"/>
          <w:bCs/>
          <w:sz w:val="28"/>
          <w:szCs w:val="28"/>
        </w:rPr>
        <w:t>活动之日算起，确定时限参考总局办法第十六条对从事网络经营报告的规定。</w:t>
      </w:r>
    </w:p>
    <w:p w14:paraId="1EF7E99E">
      <w:pPr>
        <w:widowControl/>
        <w:spacing w:line="600" w:lineRule="exact"/>
        <w:ind w:firstLine="640"/>
        <w:rPr>
          <w:rFonts w:hint="eastAsia" w:eastAsia="仿宋"/>
          <w:kern w:val="0"/>
          <w:szCs w:val="32"/>
        </w:rPr>
      </w:pPr>
      <w:r>
        <w:rPr>
          <w:rFonts w:hint="eastAsia" w:eastAsia="仿宋"/>
          <w:b/>
          <w:bCs/>
          <w:kern w:val="0"/>
          <w:szCs w:val="32"/>
        </w:rPr>
        <w:t>第二十</w:t>
      </w:r>
      <w:r>
        <w:rPr>
          <w:rFonts w:hint="eastAsia" w:eastAsia="仿宋"/>
          <w:b/>
          <w:bCs/>
          <w:kern w:val="0"/>
          <w:szCs w:val="32"/>
          <w:lang w:eastAsia="zh-CN"/>
        </w:rPr>
        <w:t>六</w:t>
      </w:r>
      <w:r>
        <w:rPr>
          <w:rFonts w:hint="eastAsia" w:eastAsia="仿宋"/>
          <w:b/>
          <w:bCs/>
          <w:kern w:val="0"/>
          <w:szCs w:val="32"/>
        </w:rPr>
        <w:t>条（从事网络经营等报告）</w:t>
      </w:r>
      <w:r>
        <w:rPr>
          <w:rFonts w:hint="eastAsia" w:eastAsia="仿宋"/>
          <w:kern w:val="0"/>
          <w:szCs w:val="32"/>
        </w:rPr>
        <w:t xml:space="preserve">  取得食品经营许可证的食品经营者从事网络经营的，报告内容应当包括自建网站网址、网络食品交易第三方平台名称</w:t>
      </w:r>
      <w:r>
        <w:rPr>
          <w:rFonts w:hint="eastAsia" w:eastAsia="仿宋"/>
          <w:kern w:val="0"/>
          <w:szCs w:val="32"/>
          <w:lang w:eastAsia="zh-CN"/>
        </w:rPr>
        <w:t>及网址</w:t>
      </w:r>
      <w:r>
        <w:rPr>
          <w:rFonts w:hint="eastAsia" w:eastAsia="仿宋"/>
          <w:kern w:val="0"/>
          <w:szCs w:val="32"/>
        </w:rPr>
        <w:t>等信息。</w:t>
      </w:r>
    </w:p>
    <w:p w14:paraId="648C65EC">
      <w:pPr>
        <w:widowControl/>
        <w:spacing w:line="500" w:lineRule="exact"/>
        <w:ind w:firstLine="640" w:firstLineChars="200"/>
        <w:rPr>
          <w:rFonts w:hint="eastAsia"/>
        </w:rPr>
      </w:pPr>
      <w:r>
        <w:rPr>
          <w:rFonts w:hint="eastAsia" w:eastAsia="仿宋"/>
          <w:kern w:val="0"/>
          <w:szCs w:val="32"/>
          <w:lang w:eastAsia="zh-CN"/>
        </w:rPr>
        <w:t>食品经营者</w:t>
      </w:r>
      <w:r>
        <w:rPr>
          <w:rFonts w:hint="eastAsia" w:eastAsia="仿宋"/>
          <w:kern w:val="0"/>
          <w:szCs w:val="32"/>
        </w:rPr>
        <w:t>有外设仓库（包括自有和租赁、本省内和本</w:t>
      </w:r>
      <w:r>
        <w:rPr>
          <w:rFonts w:hint="eastAsia"/>
        </w:rPr>
        <w:t>省外）的，报告内容应当包括仓库名称、仓库地址、面积、冷藏冷冻面积、联系人及电话等信息。</w:t>
      </w:r>
    </w:p>
    <w:p w14:paraId="6B23EA43">
      <w:pPr>
        <w:widowControl/>
        <w:spacing w:line="600" w:lineRule="exact"/>
        <w:ind w:firstLine="640" w:firstLineChars="200"/>
        <w:rPr>
          <w:rFonts w:hint="eastAsia" w:eastAsia="仿宋"/>
          <w:kern w:val="0"/>
          <w:szCs w:val="32"/>
          <w:lang w:val="en-US" w:eastAsia="zh-CN"/>
        </w:rPr>
      </w:pPr>
      <w:r>
        <w:rPr>
          <w:rFonts w:hint="eastAsia" w:eastAsia="仿宋"/>
          <w:kern w:val="0"/>
          <w:szCs w:val="32"/>
          <w:lang w:val="en-US" w:eastAsia="zh-CN"/>
        </w:rPr>
        <w:t>从事网络经营、外设仓库报告可以在申请食品经营许可同时办理，也可以在开展相关活动之日起十个工作日内报告。经营者也可以委托网络食品交易第三方平台向市场监管部门进行网络经营报告。</w:t>
      </w:r>
    </w:p>
    <w:p w14:paraId="531E2367">
      <w:pPr>
        <w:widowControl/>
        <w:spacing w:line="600" w:lineRule="exact"/>
        <w:ind w:firstLine="640" w:firstLineChars="200"/>
        <w:rPr>
          <w:rFonts w:hint="eastAsia" w:eastAsia="仿宋"/>
          <w:kern w:val="0"/>
          <w:szCs w:val="32"/>
          <w:lang w:val="en-US" w:eastAsia="zh-CN"/>
        </w:rPr>
      </w:pPr>
      <w:r>
        <w:rPr>
          <w:rFonts w:hint="eastAsia" w:eastAsia="仿宋"/>
          <w:kern w:val="0"/>
          <w:szCs w:val="32"/>
          <w:lang w:val="en-US" w:eastAsia="zh-CN"/>
        </w:rPr>
        <w:t>集体用餐配送单位向学校、托幼机构供餐的，报告内容应当包括配送单位名称、地址、供餐人数等信息。</w:t>
      </w:r>
    </w:p>
    <w:p w14:paraId="6D4BD6EF">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十六条规定：食品经营者从事网络经营的，外设仓库（包括自有和租赁）的，或者集体用餐配送单位向学校、托幼机构供餐的，应当在开展相关经营活动之日起十个工作日内向所在地县级以上地方市场监督管理部门报告。</w:t>
      </w:r>
    </w:p>
    <w:p w14:paraId="2C346E79">
      <w:pPr>
        <w:widowControl/>
        <w:spacing w:line="600" w:lineRule="exact"/>
        <w:ind w:firstLine="643" w:firstLineChars="200"/>
        <w:rPr>
          <w:rFonts w:hint="eastAsia" w:eastAsia="仿宋"/>
          <w:kern w:val="0"/>
          <w:szCs w:val="32"/>
          <w:lang w:val="en-US" w:eastAsia="zh-CN"/>
        </w:rPr>
      </w:pPr>
      <w:r>
        <w:rPr>
          <w:rFonts w:hint="eastAsia" w:eastAsia="仿宋"/>
          <w:b/>
          <w:bCs/>
          <w:kern w:val="0"/>
          <w:szCs w:val="32"/>
        </w:rPr>
        <w:t>第二十</w:t>
      </w:r>
      <w:r>
        <w:rPr>
          <w:rFonts w:hint="eastAsia" w:eastAsia="仿宋"/>
          <w:b/>
          <w:bCs/>
          <w:kern w:val="0"/>
          <w:szCs w:val="32"/>
          <w:lang w:eastAsia="zh-CN"/>
        </w:rPr>
        <w:t>七</w:t>
      </w:r>
      <w:r>
        <w:rPr>
          <w:rFonts w:hint="eastAsia" w:eastAsia="仿宋"/>
          <w:b/>
          <w:bCs/>
          <w:kern w:val="0"/>
          <w:szCs w:val="32"/>
        </w:rPr>
        <w:t>条（其他需报告的情形）</w:t>
      </w:r>
      <w:r>
        <w:rPr>
          <w:rFonts w:hint="eastAsia" w:eastAsia="仿宋"/>
          <w:kern w:val="0"/>
          <w:szCs w:val="32"/>
        </w:rPr>
        <w:t xml:space="preserve">  </w:t>
      </w:r>
      <w:r>
        <w:rPr>
          <w:rFonts w:hint="eastAsia" w:eastAsia="仿宋"/>
          <w:kern w:val="0"/>
          <w:szCs w:val="32"/>
          <w:lang w:val="en-US" w:eastAsia="zh-CN"/>
        </w:rPr>
        <w:t>发生下列情形的，食品经营者应当在变化后十个工作日内向原发证的市场监督管理部门报告：</w:t>
      </w:r>
    </w:p>
    <w:p w14:paraId="086805D8">
      <w:pPr>
        <w:widowControl/>
        <w:spacing w:line="600" w:lineRule="exact"/>
        <w:ind w:firstLine="640" w:firstLineChars="200"/>
        <w:rPr>
          <w:rFonts w:hint="eastAsia" w:eastAsia="仿宋"/>
          <w:kern w:val="0"/>
          <w:szCs w:val="32"/>
          <w:lang w:val="en-US" w:eastAsia="zh-CN"/>
        </w:rPr>
      </w:pPr>
      <w:r>
        <w:rPr>
          <w:rFonts w:hint="eastAsia" w:eastAsia="仿宋"/>
          <w:kern w:val="0"/>
          <w:szCs w:val="32"/>
          <w:lang w:val="en-US" w:eastAsia="zh-CN"/>
        </w:rPr>
        <w:t>（一）食品经营许可和备案管理办法第三十条规定的情形；</w:t>
      </w:r>
    </w:p>
    <w:p w14:paraId="25550E04">
      <w:pPr>
        <w:widowControl/>
        <w:spacing w:line="600" w:lineRule="exact"/>
        <w:ind w:firstLine="640" w:firstLineChars="200"/>
        <w:rPr>
          <w:rFonts w:hint="eastAsia" w:eastAsia="仿宋"/>
          <w:kern w:val="0"/>
          <w:szCs w:val="32"/>
          <w:lang w:val="en-US" w:eastAsia="zh-CN"/>
        </w:rPr>
      </w:pPr>
      <w:r>
        <w:rPr>
          <w:rFonts w:hint="eastAsia" w:eastAsia="仿宋"/>
          <w:kern w:val="0"/>
          <w:szCs w:val="32"/>
          <w:lang w:val="en-US" w:eastAsia="zh-CN"/>
        </w:rPr>
        <w:t>（二）除学校、托幼机构食堂以外的集中用餐单位食堂自营改为承包经营、承包经营改为自营、或者承包经营企业发生变化的。</w:t>
      </w:r>
    </w:p>
    <w:p w14:paraId="28E5E8DB">
      <w:pPr>
        <w:widowControl/>
        <w:spacing w:line="600" w:lineRule="exact"/>
        <w:ind w:firstLine="640" w:firstLineChars="200"/>
        <w:rPr>
          <w:rFonts w:hint="eastAsia" w:eastAsia="仿宋"/>
          <w:kern w:val="0"/>
          <w:szCs w:val="32"/>
          <w:lang w:val="en-US" w:eastAsia="zh-CN"/>
        </w:rPr>
      </w:pPr>
      <w:r>
        <w:rPr>
          <w:rFonts w:hint="eastAsia" w:eastAsia="仿宋"/>
          <w:kern w:val="0"/>
          <w:szCs w:val="32"/>
          <w:lang w:val="en-US" w:eastAsia="zh-CN"/>
        </w:rPr>
        <w:t>食品经营者专间或专用操作区改变位置，食品处理区改变原料进入、食品制作、成品供应流程的视为符合食品经营许可和备案管理办法第三十条第一款第一项的情形，报告内容应包括变化后的主要设备设施、经营布局、操作流程等文件。</w:t>
      </w:r>
    </w:p>
    <w:p w14:paraId="244288A0">
      <w:pPr>
        <w:widowControl/>
        <w:spacing w:line="500" w:lineRule="exact"/>
        <w:ind w:firstLine="561"/>
        <w:rPr>
          <w:rFonts w:hint="eastAsia"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rPr>
        <w:t>说明：总局办法第三十条</w:t>
      </w:r>
      <w:r>
        <w:rPr>
          <w:rFonts w:hint="eastAsia" w:ascii="方正楷体_GBK" w:hAnsi="方正楷体_GBK" w:eastAsia="方正楷体_GBK" w:cs="方正楷体_GBK"/>
          <w:bCs/>
          <w:sz w:val="28"/>
          <w:szCs w:val="28"/>
          <w:lang w:eastAsia="zh-CN"/>
        </w:rPr>
        <w:t>列举了经营者应当在变化后办理报告的情形，并且其中</w:t>
      </w:r>
      <w:r>
        <w:rPr>
          <w:rFonts w:hint="eastAsia" w:ascii="方正楷体_GBK" w:hAnsi="方正楷体_GBK" w:eastAsia="方正楷体_GBK" w:cs="方正楷体_GBK"/>
          <w:bCs/>
          <w:sz w:val="28"/>
          <w:szCs w:val="28"/>
        </w:rPr>
        <w:t>第一款</w:t>
      </w:r>
      <w:r>
        <w:rPr>
          <w:rFonts w:hint="eastAsia" w:ascii="方正楷体_GBK" w:hAnsi="方正楷体_GBK" w:eastAsia="方正楷体_GBK" w:cs="方正楷体_GBK"/>
          <w:bCs/>
          <w:sz w:val="28"/>
          <w:szCs w:val="28"/>
          <w:lang w:eastAsia="zh-CN"/>
        </w:rPr>
        <w:t>（一）</w:t>
      </w:r>
      <w:r>
        <w:rPr>
          <w:rFonts w:hint="eastAsia" w:ascii="方正楷体_GBK" w:hAnsi="方正楷体_GBK" w:eastAsia="方正楷体_GBK" w:cs="方正楷体_GBK"/>
          <w:bCs/>
          <w:sz w:val="28"/>
          <w:szCs w:val="28"/>
        </w:rPr>
        <w:t>规定</w:t>
      </w:r>
      <w:r>
        <w:rPr>
          <w:rFonts w:hint="eastAsia" w:ascii="方正楷体_GBK" w:hAnsi="方正楷体_GBK" w:eastAsia="方正楷体_GBK" w:cs="方正楷体_GBK"/>
          <w:bCs/>
          <w:sz w:val="28"/>
          <w:szCs w:val="28"/>
          <w:lang w:eastAsia="zh-CN"/>
        </w:rPr>
        <w:t>：</w:t>
      </w:r>
      <w:r>
        <w:rPr>
          <w:rFonts w:hint="eastAsia" w:ascii="方正楷体_GBK" w:hAnsi="方正楷体_GBK" w:eastAsia="方正楷体_GBK" w:cs="方正楷体_GBK"/>
          <w:bCs/>
          <w:sz w:val="28"/>
          <w:szCs w:val="28"/>
        </w:rPr>
        <w:t>食品经营者的主要设备设施、经营布局、操作流程等发生较大变化，可能影响食品安全的。</w:t>
      </w:r>
      <w:r>
        <w:rPr>
          <w:rFonts w:hint="eastAsia" w:ascii="方正楷体_GBK" w:hAnsi="方正楷体_GBK" w:eastAsia="方正楷体_GBK" w:cs="方正楷体_GBK"/>
          <w:bCs/>
          <w:sz w:val="28"/>
          <w:szCs w:val="28"/>
          <w:lang w:eastAsia="zh-CN"/>
        </w:rPr>
        <w:t>通则第四十二条第二款规定：</w:t>
      </w:r>
      <w:r>
        <w:rPr>
          <w:rFonts w:hint="eastAsia" w:ascii="方正楷体_GBK" w:hAnsi="方正楷体_GBK" w:eastAsia="方正楷体_GBK" w:cs="方正楷体_GBK"/>
          <w:bCs/>
          <w:sz w:val="28"/>
          <w:szCs w:val="28"/>
          <w:lang w:val="zh-CN"/>
        </w:rPr>
        <w:t>除学校</w:t>
      </w:r>
      <w:r>
        <w:rPr>
          <w:rFonts w:hint="eastAsia" w:ascii="方正楷体_GBK" w:hAnsi="方正楷体_GBK" w:eastAsia="方正楷体_GBK" w:cs="方正楷体_GBK"/>
          <w:bCs/>
          <w:sz w:val="28"/>
          <w:szCs w:val="28"/>
          <w:lang w:val="en-US" w:eastAsia="zh-CN"/>
        </w:rPr>
        <w:t>、托幼机构食堂以外的集中用餐单位食堂发生《食品经营许可和备案管理办法》</w:t>
      </w:r>
      <w:r>
        <w:rPr>
          <w:rFonts w:hint="eastAsia" w:ascii="方正楷体_GBK" w:hAnsi="方正楷体_GBK" w:eastAsia="方正楷体_GBK" w:cs="方正楷体_GBK"/>
          <w:bCs/>
          <w:sz w:val="28"/>
          <w:szCs w:val="28"/>
        </w:rPr>
        <w:t>第三十条</w:t>
      </w:r>
      <w:r>
        <w:rPr>
          <w:rFonts w:hint="eastAsia" w:ascii="方正楷体_GBK" w:hAnsi="方正楷体_GBK" w:eastAsia="方正楷体_GBK" w:cs="方正楷体_GBK"/>
          <w:bCs/>
          <w:sz w:val="28"/>
          <w:szCs w:val="28"/>
          <w:lang w:eastAsia="zh-CN"/>
        </w:rPr>
        <w:t>列举的情形以及</w:t>
      </w:r>
      <w:r>
        <w:rPr>
          <w:rFonts w:hint="eastAsia" w:ascii="方正楷体_GBK" w:hAnsi="方正楷体_GBK" w:eastAsia="方正楷体_GBK" w:cs="方正楷体_GBK"/>
          <w:bCs/>
          <w:sz w:val="28"/>
          <w:szCs w:val="28"/>
        </w:rPr>
        <w:t>变更经营形式，自营改为承包经营的</w:t>
      </w:r>
      <w:r>
        <w:rPr>
          <w:rFonts w:hint="eastAsia" w:ascii="方正楷体_GBK" w:hAnsi="方正楷体_GBK" w:eastAsia="方正楷体_GBK" w:cs="方正楷体_GBK"/>
          <w:bCs/>
          <w:sz w:val="28"/>
          <w:szCs w:val="28"/>
          <w:lang w:eastAsia="zh-CN"/>
        </w:rPr>
        <w:t>、</w:t>
      </w:r>
      <w:r>
        <w:rPr>
          <w:rFonts w:hint="eastAsia" w:ascii="方正楷体_GBK" w:hAnsi="方正楷体_GBK" w:eastAsia="方正楷体_GBK" w:cs="方正楷体_GBK"/>
          <w:bCs/>
          <w:sz w:val="28"/>
          <w:szCs w:val="28"/>
        </w:rPr>
        <w:t>承包经营企业发生变化的，</w:t>
      </w:r>
      <w:r>
        <w:rPr>
          <w:rFonts w:hint="eastAsia" w:ascii="方正楷体_GBK" w:hAnsi="方正楷体_GBK" w:eastAsia="方正楷体_GBK" w:cs="方正楷体_GBK"/>
          <w:bCs/>
          <w:sz w:val="28"/>
          <w:szCs w:val="28"/>
          <w:lang w:eastAsia="zh-CN"/>
        </w:rPr>
        <w:t>应</w:t>
      </w:r>
      <w:r>
        <w:rPr>
          <w:rFonts w:hint="eastAsia" w:ascii="方正楷体_GBK" w:hAnsi="方正楷体_GBK" w:eastAsia="方正楷体_GBK" w:cs="方正楷体_GBK"/>
          <w:bCs/>
          <w:sz w:val="28"/>
          <w:szCs w:val="28"/>
        </w:rPr>
        <w:t>在变化后十个工作日内向原发证的市场监督管理部门报告</w:t>
      </w:r>
      <w:r>
        <w:rPr>
          <w:rFonts w:hint="eastAsia" w:ascii="方正楷体_GBK" w:hAnsi="方正楷体_GBK" w:eastAsia="方正楷体_GBK" w:cs="方正楷体_GBK"/>
          <w:bCs/>
          <w:sz w:val="28"/>
          <w:szCs w:val="28"/>
          <w:lang w:eastAsia="zh-CN"/>
        </w:rPr>
        <w:t>。</w:t>
      </w:r>
      <w:r>
        <w:rPr>
          <w:rFonts w:hint="eastAsia" w:ascii="方正楷体_GBK" w:hAnsi="方正楷体_GBK" w:eastAsia="方正楷体_GBK" w:cs="方正楷体_GBK"/>
          <w:bCs/>
          <w:sz w:val="28"/>
          <w:szCs w:val="28"/>
          <w:lang w:val="en-US" w:eastAsia="zh-CN"/>
        </w:rPr>
        <w:t xml:space="preserve">  </w:t>
      </w:r>
    </w:p>
    <w:p w14:paraId="35541600">
      <w:pPr>
        <w:widowControl/>
        <w:spacing w:line="500" w:lineRule="exact"/>
        <w:ind w:firstLine="561"/>
        <w:rPr>
          <w:color w:val="FF0000"/>
        </w:rPr>
      </w:pPr>
      <w:r>
        <w:rPr>
          <w:rFonts w:hint="eastAsia" w:ascii="方正楷体_GBK" w:hAnsi="方正楷体_GBK" w:eastAsia="方正楷体_GBK" w:cs="方正楷体_GBK"/>
          <w:bCs/>
          <w:sz w:val="28"/>
          <w:szCs w:val="28"/>
        </w:rPr>
        <w:t>本条第二款对</w:t>
      </w:r>
      <w:r>
        <w:rPr>
          <w:rFonts w:hint="eastAsia" w:ascii="方正楷体_GBK" w:hAnsi="方正楷体_GBK" w:eastAsia="方正楷体_GBK" w:cs="方正楷体_GBK"/>
          <w:bCs/>
          <w:sz w:val="28"/>
          <w:szCs w:val="28"/>
          <w:lang w:eastAsia="zh-CN"/>
        </w:rPr>
        <w:t>总局办法第三十条第一款（一）规定的</w:t>
      </w:r>
      <w:r>
        <w:rPr>
          <w:rFonts w:hint="eastAsia" w:ascii="方正楷体_GBK" w:hAnsi="方正楷体_GBK" w:eastAsia="方正楷体_GBK" w:cs="方正楷体_GBK"/>
          <w:bCs/>
          <w:sz w:val="28"/>
          <w:szCs w:val="28"/>
        </w:rPr>
        <w:t>发生较大变化，可能影响食品安全的情形作出说明，主要是涉及食品加工场所大的变动改变了布局流程的情形。</w:t>
      </w:r>
    </w:p>
    <w:p w14:paraId="0B17534B">
      <w:pPr>
        <w:widowControl/>
        <w:spacing w:line="600" w:lineRule="exact"/>
        <w:ind w:firstLine="643" w:firstLineChars="200"/>
        <w:rPr>
          <w:rFonts w:hint="eastAsia" w:eastAsia="仿宋"/>
          <w:kern w:val="0"/>
          <w:sz w:val="28"/>
          <w:szCs w:val="28"/>
        </w:rPr>
      </w:pPr>
      <w:r>
        <w:rPr>
          <w:rFonts w:hint="eastAsia" w:eastAsia="仿宋"/>
          <w:b/>
          <w:bCs/>
          <w:kern w:val="0"/>
          <w:szCs w:val="32"/>
        </w:rPr>
        <w:t>第二十</w:t>
      </w:r>
      <w:r>
        <w:rPr>
          <w:rFonts w:hint="eastAsia" w:eastAsia="仿宋"/>
          <w:b/>
          <w:bCs/>
          <w:kern w:val="0"/>
          <w:szCs w:val="32"/>
          <w:lang w:eastAsia="zh-CN"/>
        </w:rPr>
        <w:t>八</w:t>
      </w:r>
      <w:r>
        <w:rPr>
          <w:rFonts w:hint="eastAsia" w:eastAsia="仿宋"/>
          <w:b/>
          <w:bCs/>
          <w:kern w:val="0"/>
          <w:szCs w:val="32"/>
        </w:rPr>
        <w:t>条（信息通报）</w:t>
      </w:r>
      <w:r>
        <w:rPr>
          <w:rFonts w:hint="eastAsia" w:eastAsia="仿宋"/>
          <w:kern w:val="0"/>
          <w:szCs w:val="32"/>
        </w:rPr>
        <w:t xml:space="preserve">  食品贮存场所、自动制售设备放置地点省内跨辖区设置</w:t>
      </w:r>
      <w:r>
        <w:rPr>
          <w:rFonts w:hint="eastAsia" w:eastAsia="仿宋" w:cs="Times New Roman"/>
          <w:kern w:val="0"/>
          <w:szCs w:val="32"/>
        </w:rPr>
        <w:t>的，</w:t>
      </w:r>
      <w:r>
        <w:rPr>
          <w:rFonts w:hint="eastAsia" w:eastAsia="仿宋" w:cs="Times New Roman"/>
          <w:kern w:val="0"/>
          <w:szCs w:val="32"/>
          <w:lang w:eastAsia="zh-CN"/>
        </w:rPr>
        <w:t>市场监督管理</w:t>
      </w:r>
      <w:r>
        <w:rPr>
          <w:rFonts w:hint="eastAsia" w:eastAsia="仿宋" w:cs="Times New Roman"/>
          <w:kern w:val="0"/>
          <w:szCs w:val="32"/>
        </w:rPr>
        <w:t>部门</w:t>
      </w:r>
      <w:r>
        <w:rPr>
          <w:rFonts w:hint="eastAsia" w:eastAsia="仿宋"/>
          <w:kern w:val="0"/>
          <w:szCs w:val="32"/>
        </w:rPr>
        <w:t>收到报告信息后应当及时向食品贮存场所、自动制售设备具体放置地点所在地县级市场监督管理部门通报。</w:t>
      </w:r>
    </w:p>
    <w:p w14:paraId="5F7968F2">
      <w:pPr>
        <w:widowControl/>
        <w:spacing w:line="600" w:lineRule="exact"/>
        <w:ind w:firstLine="640" w:firstLineChars="200"/>
        <w:rPr>
          <w:rFonts w:hint="eastAsia" w:eastAsia="仿宋"/>
          <w:kern w:val="0"/>
          <w:szCs w:val="32"/>
        </w:rPr>
      </w:pPr>
      <w:r>
        <w:rPr>
          <w:rFonts w:hint="eastAsia" w:eastAsia="仿宋"/>
          <w:kern w:val="0"/>
          <w:szCs w:val="32"/>
        </w:rPr>
        <w:t>通报可以采用信息化方式进行。</w:t>
      </w:r>
    </w:p>
    <w:p w14:paraId="26CE339A">
      <w:pPr>
        <w:pStyle w:val="2"/>
        <w:rPr>
          <w:rFonts w:ascii="方正楷体_GBK" w:hAnsi="方正楷体_GBK" w:eastAsia="方正楷体_GBK" w:cs="方正楷体_GBK"/>
          <w:b w:val="0"/>
          <w:bCs/>
          <w:sz w:val="28"/>
          <w:szCs w:val="28"/>
        </w:rPr>
      </w:pPr>
      <w:r>
        <w:rPr>
          <w:rFonts w:hint="eastAsia" w:ascii="方正楷体_GBK" w:hAnsi="方正楷体_GBK" w:eastAsia="方正楷体_GBK" w:cs="方正楷体_GBK"/>
          <w:b w:val="0"/>
          <w:bCs/>
          <w:sz w:val="28"/>
          <w:szCs w:val="28"/>
        </w:rPr>
        <w:t xml:space="preserve">    说明：由许可系统实现发送文书、自动推送功能。</w:t>
      </w:r>
    </w:p>
    <w:p w14:paraId="263DB8D5">
      <w:pPr>
        <w:widowControl/>
        <w:spacing w:line="600" w:lineRule="exact"/>
        <w:ind w:firstLine="640"/>
        <w:rPr>
          <w:rFonts w:eastAsia="仿宋"/>
          <w:kern w:val="0"/>
          <w:szCs w:val="32"/>
        </w:rPr>
      </w:pPr>
      <w:r>
        <w:rPr>
          <w:rFonts w:hint="eastAsia" w:eastAsia="仿宋"/>
          <w:b/>
          <w:bCs/>
          <w:kern w:val="0"/>
          <w:szCs w:val="32"/>
        </w:rPr>
        <w:t>第二十</w:t>
      </w:r>
      <w:r>
        <w:rPr>
          <w:rFonts w:hint="eastAsia" w:eastAsia="仿宋"/>
          <w:b/>
          <w:bCs/>
          <w:kern w:val="0"/>
          <w:szCs w:val="32"/>
          <w:lang w:eastAsia="zh-CN"/>
        </w:rPr>
        <w:t>九</w:t>
      </w:r>
      <w:r>
        <w:rPr>
          <w:rFonts w:hint="eastAsia" w:eastAsia="仿宋"/>
          <w:b/>
          <w:bCs/>
          <w:kern w:val="0"/>
          <w:szCs w:val="32"/>
        </w:rPr>
        <w:t xml:space="preserve">条（仅销售预包装食品备案）  </w:t>
      </w:r>
      <w:r>
        <w:rPr>
          <w:rFonts w:hint="eastAsia" w:eastAsia="仿宋"/>
          <w:kern w:val="0"/>
          <w:szCs w:val="32"/>
          <w:lang w:eastAsia="zh-CN"/>
        </w:rPr>
        <w:t>利用</w:t>
      </w:r>
      <w:r>
        <w:rPr>
          <w:rFonts w:eastAsia="仿宋"/>
          <w:kern w:val="0"/>
          <w:szCs w:val="32"/>
        </w:rPr>
        <w:t>自动设备仅销售预包装食品的</w:t>
      </w:r>
      <w:r>
        <w:rPr>
          <w:rFonts w:hint="eastAsia" w:eastAsia="仿宋"/>
          <w:kern w:val="0"/>
          <w:szCs w:val="32"/>
          <w:lang w:eastAsia="zh-CN"/>
        </w:rPr>
        <w:t>经营者</w:t>
      </w:r>
      <w:r>
        <w:rPr>
          <w:rFonts w:eastAsia="仿宋"/>
          <w:kern w:val="0"/>
          <w:szCs w:val="32"/>
        </w:rPr>
        <w:t>，应以</w:t>
      </w:r>
      <w:r>
        <w:rPr>
          <w:rFonts w:hint="eastAsia" w:eastAsia="仿宋"/>
          <w:kern w:val="0"/>
          <w:szCs w:val="32"/>
        </w:rPr>
        <w:t>登记的住</w:t>
      </w:r>
      <w:r>
        <w:rPr>
          <w:rFonts w:eastAsia="仿宋"/>
          <w:kern w:val="0"/>
          <w:szCs w:val="32"/>
        </w:rPr>
        <w:t>所为经营场所备案，并逐一填报自动设备的</w:t>
      </w:r>
      <w:r>
        <w:rPr>
          <w:rFonts w:hint="eastAsia" w:eastAsia="仿宋"/>
          <w:kern w:val="0"/>
          <w:szCs w:val="32"/>
          <w:lang w:eastAsia="zh-CN"/>
        </w:rPr>
        <w:t>摆放</w:t>
      </w:r>
      <w:r>
        <w:rPr>
          <w:rFonts w:eastAsia="仿宋"/>
          <w:kern w:val="0"/>
          <w:szCs w:val="32"/>
        </w:rPr>
        <w:t>地址。</w:t>
      </w:r>
    </w:p>
    <w:p w14:paraId="21D063FD">
      <w:pPr>
        <w:widowControl/>
        <w:spacing w:line="600" w:lineRule="exact"/>
        <w:ind w:firstLine="640"/>
        <w:rPr>
          <w:rFonts w:hint="eastAsia" w:eastAsia="仿宋"/>
          <w:kern w:val="0"/>
          <w:szCs w:val="32"/>
        </w:rPr>
      </w:pPr>
      <w:r>
        <w:rPr>
          <w:rFonts w:eastAsia="仿宋"/>
          <w:kern w:val="0"/>
          <w:szCs w:val="32"/>
        </w:rPr>
        <w:t>仅销售预包装食品</w:t>
      </w:r>
      <w:r>
        <w:rPr>
          <w:rFonts w:hint="eastAsia" w:eastAsia="仿宋"/>
          <w:kern w:val="0"/>
          <w:szCs w:val="32"/>
        </w:rPr>
        <w:t>经营者开展网络经营、有食品贮存场所的，备案时应当提供网络经营及食品贮存场所地址、面积、设备设施等信息。</w:t>
      </w:r>
    </w:p>
    <w:p w14:paraId="04E05385">
      <w:pPr>
        <w:autoSpaceDE w:val="0"/>
        <w:autoSpaceDN w:val="0"/>
        <w:adjustRightInd w:val="0"/>
        <w:spacing w:line="560" w:lineRule="exact"/>
        <w:ind w:firstLine="640" w:firstLineChars="200"/>
        <w:rPr>
          <w:rFonts w:hint="eastAsia" w:eastAsia="仿宋"/>
          <w:kern w:val="0"/>
          <w:szCs w:val="32"/>
        </w:rPr>
      </w:pPr>
      <w:r>
        <w:rPr>
          <w:rFonts w:eastAsia="仿宋"/>
          <w:kern w:val="0"/>
          <w:szCs w:val="32"/>
        </w:rPr>
        <w:t>仅销售预包装食品</w:t>
      </w:r>
      <w:r>
        <w:rPr>
          <w:rFonts w:hint="eastAsia" w:eastAsia="仿宋"/>
          <w:kern w:val="0"/>
          <w:szCs w:val="32"/>
        </w:rPr>
        <w:t>经营者</w:t>
      </w:r>
      <w:r>
        <w:rPr>
          <w:rFonts w:hint="eastAsia" w:eastAsia="仿宋"/>
          <w:kern w:val="0"/>
          <w:szCs w:val="32"/>
          <w:lang w:eastAsia="zh-CN"/>
        </w:rPr>
        <w:t>外设</w:t>
      </w:r>
      <w:r>
        <w:rPr>
          <w:rFonts w:hint="eastAsia" w:eastAsia="仿宋"/>
          <w:kern w:val="0"/>
          <w:szCs w:val="32"/>
        </w:rPr>
        <w:t>仓库、经营种类、销售方式、网络经营情况、</w:t>
      </w:r>
      <w:r>
        <w:rPr>
          <w:rFonts w:hint="default" w:eastAsia="仿宋"/>
          <w:kern w:val="0"/>
          <w:szCs w:val="32"/>
        </w:rPr>
        <w:t>自动</w:t>
      </w:r>
      <w:r>
        <w:rPr>
          <w:rFonts w:hint="default" w:eastAsia="仿宋"/>
          <w:kern w:val="0"/>
          <w:szCs w:val="32"/>
          <w:lang w:eastAsia="zh-CN"/>
        </w:rPr>
        <w:t>设备</w:t>
      </w:r>
      <w:r>
        <w:rPr>
          <w:rFonts w:hint="eastAsia" w:eastAsia="仿宋"/>
          <w:kern w:val="0"/>
          <w:szCs w:val="32"/>
          <w:lang w:eastAsia="zh-CN"/>
        </w:rPr>
        <w:t>摆放地址</w:t>
      </w:r>
      <w:r>
        <w:rPr>
          <w:rFonts w:hint="eastAsia" w:eastAsia="仿宋"/>
          <w:kern w:val="0"/>
          <w:szCs w:val="32"/>
        </w:rPr>
        <w:t>、连锁经营情况等信息发生变化的，</w:t>
      </w:r>
      <w:r>
        <w:rPr>
          <w:rFonts w:hint="eastAsia" w:eastAsia="仿宋"/>
          <w:kern w:val="0"/>
          <w:szCs w:val="32"/>
          <w:lang w:eastAsia="zh-CN"/>
        </w:rPr>
        <w:t>经营者</w:t>
      </w:r>
      <w:r>
        <w:rPr>
          <w:rFonts w:hint="eastAsia" w:eastAsia="仿宋"/>
          <w:kern w:val="0"/>
          <w:szCs w:val="32"/>
        </w:rPr>
        <w:t>应当自发生变化之日起15个工作日内办理备案变更。</w:t>
      </w:r>
    </w:p>
    <w:p w14:paraId="66BDEAB1">
      <w:pPr>
        <w:autoSpaceDE w:val="0"/>
        <w:autoSpaceDN w:val="0"/>
        <w:adjustRightInd w:val="0"/>
        <w:spacing w:line="560" w:lineRule="exact"/>
        <w:ind w:firstLine="640" w:firstLineChars="200"/>
        <w:rPr>
          <w:rFonts w:hint="eastAsia" w:eastAsia="仿宋"/>
          <w:kern w:val="0"/>
          <w:szCs w:val="32"/>
        </w:rPr>
      </w:pPr>
      <w:r>
        <w:rPr>
          <w:rFonts w:eastAsia="仿宋"/>
          <w:kern w:val="0"/>
          <w:szCs w:val="32"/>
        </w:rPr>
        <w:t>仅销售预包装食品</w:t>
      </w:r>
      <w:r>
        <w:rPr>
          <w:rFonts w:hint="eastAsia" w:eastAsia="仿宋"/>
          <w:kern w:val="0"/>
          <w:szCs w:val="32"/>
        </w:rPr>
        <w:t>经营者食品经营者名称、统一社会信用代码、法定代表人、经营场所地址等信息发生变化，</w:t>
      </w:r>
      <w:r>
        <w:rPr>
          <w:rFonts w:hint="eastAsia" w:eastAsia="仿宋"/>
          <w:kern w:val="0"/>
          <w:szCs w:val="32"/>
          <w:lang w:eastAsia="zh-CN"/>
        </w:rPr>
        <w:t>经营者</w:t>
      </w:r>
      <w:r>
        <w:rPr>
          <w:rFonts w:hint="eastAsia" w:eastAsia="仿宋"/>
          <w:kern w:val="0"/>
          <w:szCs w:val="32"/>
        </w:rPr>
        <w:t>应当自变化之日起15个工作日内取消原备案，重新办理备案。</w:t>
      </w:r>
    </w:p>
    <w:p w14:paraId="580F19DF">
      <w:pPr>
        <w:autoSpaceDE w:val="0"/>
        <w:autoSpaceDN w:val="0"/>
        <w:adjustRightInd w:val="0"/>
        <w:spacing w:line="560" w:lineRule="exact"/>
        <w:ind w:firstLine="560" w:firstLineChars="200"/>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lang w:eastAsia="zh-CN"/>
        </w:rPr>
        <w:t>说明：总局</w:t>
      </w:r>
      <w:r>
        <w:rPr>
          <w:rFonts w:hint="eastAsia" w:ascii="方正楷体_GBK" w:hAnsi="方正楷体_GBK" w:eastAsia="方正楷体_GBK" w:cs="方正楷体_GBK"/>
          <w:bCs/>
          <w:sz w:val="28"/>
          <w:szCs w:val="28"/>
        </w:rPr>
        <w:t>规定</w:t>
      </w:r>
      <w:r>
        <w:rPr>
          <w:rFonts w:hint="eastAsia" w:ascii="方正楷体_GBK" w:hAnsi="方正楷体_GBK" w:eastAsia="方正楷体_GBK" w:cs="方正楷体_GBK"/>
          <w:bCs/>
          <w:sz w:val="28"/>
          <w:szCs w:val="28"/>
          <w:lang w:eastAsia="zh-CN"/>
        </w:rPr>
        <w:t>了可变更及不可</w:t>
      </w:r>
      <w:r>
        <w:rPr>
          <w:rFonts w:hint="eastAsia" w:ascii="方正楷体_GBK" w:hAnsi="方正楷体_GBK" w:eastAsia="方正楷体_GBK" w:cs="方正楷体_GBK"/>
          <w:bCs/>
          <w:sz w:val="28"/>
          <w:szCs w:val="28"/>
          <w:lang w:val="en-US" w:eastAsia="zh-CN"/>
        </w:rPr>
        <w:t>变更信息，</w:t>
      </w:r>
      <w:r>
        <w:rPr>
          <w:rFonts w:hint="eastAsia" w:ascii="方正楷体_GBK" w:hAnsi="方正楷体_GBK" w:eastAsia="方正楷体_GBK" w:cs="方正楷体_GBK"/>
          <w:bCs/>
          <w:sz w:val="28"/>
          <w:szCs w:val="28"/>
        </w:rPr>
        <w:t>上述信息发生变更需由经营者主动注销后，重新办理备案。</w:t>
      </w:r>
    </w:p>
    <w:p w14:paraId="2C2626A9">
      <w:pPr>
        <w:autoSpaceDE w:val="0"/>
        <w:autoSpaceDN w:val="0"/>
        <w:adjustRightInd w:val="0"/>
        <w:spacing w:line="560" w:lineRule="exact"/>
        <w:ind w:firstLine="640" w:firstLineChars="200"/>
        <w:rPr>
          <w:rFonts w:ascii="Times New Roman" w:hAnsi="Times New Roman"/>
          <w:kern w:val="0"/>
          <w:szCs w:val="32"/>
          <w:lang w:bidi="ar"/>
        </w:rPr>
      </w:pPr>
      <w:r>
        <w:rPr>
          <w:rFonts w:eastAsia="仿宋"/>
          <w:kern w:val="0"/>
          <w:szCs w:val="32"/>
        </w:rPr>
        <w:t>仅销售预包装食品</w:t>
      </w:r>
      <w:r>
        <w:rPr>
          <w:rFonts w:hint="eastAsia" w:eastAsia="仿宋"/>
          <w:kern w:val="0"/>
          <w:szCs w:val="32"/>
        </w:rPr>
        <w:t>经营者</w:t>
      </w:r>
      <w:r>
        <w:rPr>
          <w:rFonts w:ascii="Times New Roman" w:hAnsi="Times New Roman"/>
          <w:kern w:val="0"/>
          <w:szCs w:val="32"/>
          <w:lang w:bidi="ar"/>
        </w:rPr>
        <w:t>终止仅销售预包装食品经营活动</w:t>
      </w:r>
      <w:r>
        <w:rPr>
          <w:rFonts w:hint="eastAsia" w:ascii="Times New Roman" w:hAnsi="Times New Roman"/>
          <w:kern w:val="0"/>
          <w:szCs w:val="32"/>
          <w:lang w:bidi="ar"/>
        </w:rPr>
        <w:t>的</w:t>
      </w:r>
      <w:r>
        <w:rPr>
          <w:rFonts w:ascii="Times New Roman" w:hAnsi="Times New Roman"/>
          <w:kern w:val="0"/>
          <w:szCs w:val="32"/>
          <w:lang w:bidi="ar"/>
        </w:rPr>
        <w:t>，</w:t>
      </w:r>
      <w:r>
        <w:rPr>
          <w:rFonts w:hint="eastAsia" w:ascii="Times New Roman" w:hAnsi="Times New Roman"/>
          <w:kern w:val="0"/>
          <w:szCs w:val="32"/>
          <w:lang w:bidi="ar"/>
        </w:rPr>
        <w:t>经营者应当</w:t>
      </w:r>
      <w:r>
        <w:rPr>
          <w:rFonts w:ascii="Times New Roman" w:hAnsi="Times New Roman"/>
          <w:kern w:val="0"/>
          <w:szCs w:val="32"/>
          <w:lang w:bidi="ar"/>
        </w:rPr>
        <w:t>自</w:t>
      </w:r>
      <w:r>
        <w:rPr>
          <w:rFonts w:hint="eastAsia" w:ascii="Times New Roman" w:hAnsi="Times New Roman"/>
          <w:kern w:val="0"/>
          <w:szCs w:val="32"/>
          <w:lang w:bidi="ar"/>
        </w:rPr>
        <w:t>经营活动</w:t>
      </w:r>
      <w:r>
        <w:rPr>
          <w:rFonts w:ascii="Times New Roman" w:hAnsi="Times New Roman"/>
          <w:kern w:val="0"/>
          <w:szCs w:val="32"/>
          <w:lang w:bidi="ar"/>
        </w:rPr>
        <w:t>终止之日起15个工作日内</w:t>
      </w:r>
      <w:r>
        <w:rPr>
          <w:rFonts w:hint="eastAsia" w:ascii="Times New Roman" w:hAnsi="Times New Roman"/>
          <w:kern w:val="0"/>
          <w:szCs w:val="32"/>
          <w:lang w:bidi="ar"/>
        </w:rPr>
        <w:t>取消</w:t>
      </w:r>
      <w:r>
        <w:rPr>
          <w:rFonts w:ascii="Times New Roman" w:hAnsi="Times New Roman"/>
          <w:kern w:val="0"/>
          <w:szCs w:val="32"/>
          <w:lang w:bidi="ar"/>
        </w:rPr>
        <w:t>备案。</w:t>
      </w:r>
    </w:p>
    <w:p w14:paraId="103BE611">
      <w:pPr>
        <w:widowControl/>
        <w:spacing w:line="500" w:lineRule="exact"/>
        <w:ind w:firstLine="561"/>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说明：与省局《关于仅销售预包装食品备案有关事项的通告》保持一致。</w:t>
      </w:r>
    </w:p>
    <w:p w14:paraId="4A6A4377">
      <w:pPr>
        <w:widowControl/>
        <w:spacing w:line="600" w:lineRule="exact"/>
        <w:ind w:firstLine="640"/>
        <w:rPr>
          <w:rFonts w:hint="eastAsia" w:eastAsia="仿宋"/>
          <w:kern w:val="0"/>
          <w:szCs w:val="32"/>
          <w:lang w:eastAsia="zh-CN"/>
        </w:rPr>
      </w:pPr>
      <w:r>
        <w:rPr>
          <w:rFonts w:hint="eastAsia" w:eastAsia="仿宋"/>
          <w:b/>
          <w:bCs/>
          <w:kern w:val="0"/>
          <w:szCs w:val="32"/>
          <w:lang w:eastAsia="zh-CN"/>
        </w:rPr>
        <w:t>第三十条（明厨亮灶）</w:t>
      </w:r>
      <w:r>
        <w:rPr>
          <w:rFonts w:hint="eastAsia" w:eastAsia="仿宋"/>
          <w:kern w:val="0"/>
          <w:szCs w:val="32"/>
          <w:lang w:eastAsia="zh-CN"/>
        </w:rPr>
        <w:t xml:space="preserve">  餐饮服务经营者、集体用餐单位食堂应当遵守《广东省食品安全条例》第三十二条“向消费者展示食品加工制作关键过程”的规定，可以在经营场所布局时安装展示食品加工制作关键过程的设备设施。</w:t>
      </w:r>
    </w:p>
    <w:p w14:paraId="035D365C">
      <w:pPr>
        <w:widowControl/>
        <w:spacing w:line="500" w:lineRule="exact"/>
        <w:ind w:firstLine="561"/>
        <w:rPr>
          <w:rFonts w:hint="eastAsia" w:ascii="方正楷体_GBK" w:hAnsi="方正楷体_GBK" w:eastAsia="方正楷体_GBK" w:cs="方正楷体_GBK"/>
          <w:bCs/>
          <w:sz w:val="28"/>
          <w:szCs w:val="28"/>
          <w:lang w:val="en-US" w:eastAsia="zh-CN"/>
        </w:rPr>
      </w:pPr>
      <w:r>
        <w:rPr>
          <w:rFonts w:hint="eastAsia" w:ascii="方正楷体_GBK" w:hAnsi="方正楷体_GBK" w:eastAsia="方正楷体_GBK" w:cs="方正楷体_GBK"/>
          <w:bCs/>
          <w:sz w:val="28"/>
          <w:szCs w:val="28"/>
        </w:rPr>
        <w:t>说明：《广东省食品安全条例》第三十二条规定， 餐饮服务提供者应当保障消费者对食品加工安全的知情权和监督权，通过设立透明式、开放式、视频监控式厨房或者参观通道等形式，向消费者展示食品加工制作关键过程，接受消费者监督。本细则</w:t>
      </w:r>
      <w:r>
        <w:rPr>
          <w:rFonts w:hint="eastAsia" w:ascii="方正楷体_GBK" w:hAnsi="方正楷体_GBK" w:eastAsia="方正楷体_GBK" w:cs="方正楷体_GBK"/>
          <w:bCs/>
          <w:sz w:val="28"/>
          <w:szCs w:val="28"/>
          <w:lang w:eastAsia="zh-CN"/>
        </w:rPr>
        <w:t>目的在于鼓励经营者在许可前考虑安装</w:t>
      </w:r>
      <w:r>
        <w:rPr>
          <w:rFonts w:hint="eastAsia" w:ascii="方正楷体_GBK" w:hAnsi="方正楷体_GBK" w:eastAsia="方正楷体_GBK" w:cs="方正楷体_GBK"/>
          <w:bCs/>
          <w:sz w:val="28"/>
          <w:szCs w:val="28"/>
        </w:rPr>
        <w:t>明厨亮灶</w:t>
      </w:r>
      <w:r>
        <w:rPr>
          <w:rFonts w:hint="eastAsia" w:ascii="方正楷体_GBK" w:hAnsi="方正楷体_GBK" w:eastAsia="方正楷体_GBK" w:cs="方正楷体_GBK"/>
          <w:bCs/>
          <w:sz w:val="28"/>
          <w:szCs w:val="28"/>
          <w:lang w:eastAsia="zh-CN"/>
        </w:rPr>
        <w:t>设备设施，此设备设施不作为许可条件</w:t>
      </w:r>
      <w:r>
        <w:rPr>
          <w:rFonts w:hint="eastAsia" w:ascii="方正楷体_GBK" w:hAnsi="方正楷体_GBK" w:eastAsia="方正楷体_GBK" w:cs="方正楷体_GBK"/>
          <w:bCs/>
          <w:sz w:val="28"/>
          <w:szCs w:val="28"/>
        </w:rPr>
        <w:t>。</w:t>
      </w:r>
    </w:p>
    <w:p w14:paraId="415EFAB0">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i w:val="0"/>
          <w:color w:val="000000"/>
          <w:sz w:val="32"/>
          <w:szCs w:val="32"/>
          <w:u w:val="none"/>
          <w:lang w:val="en-US" w:eastAsia="zh-CN"/>
        </w:rPr>
        <w:t>第</w:t>
      </w:r>
      <w:r>
        <w:rPr>
          <w:rFonts w:hint="eastAsia" w:ascii="仿宋_GB2312" w:hAnsi="仿宋_GB2312" w:cs="仿宋_GB2312"/>
          <w:b/>
          <w:bCs/>
          <w:i w:val="0"/>
          <w:color w:val="000000"/>
          <w:sz w:val="32"/>
          <w:szCs w:val="32"/>
          <w:u w:val="none"/>
          <w:lang w:val="en-US" w:eastAsia="zh-CN"/>
        </w:rPr>
        <w:t>三十一</w:t>
      </w:r>
      <w:r>
        <w:rPr>
          <w:rFonts w:hint="eastAsia" w:ascii="仿宋_GB2312" w:hAnsi="仿宋_GB2312" w:eastAsia="仿宋_GB2312" w:cs="仿宋_GB2312"/>
          <w:b/>
          <w:bCs/>
          <w:i w:val="0"/>
          <w:color w:val="000000"/>
          <w:sz w:val="32"/>
          <w:szCs w:val="32"/>
          <w:u w:val="none"/>
          <w:lang w:val="en-US" w:eastAsia="zh-CN"/>
        </w:rPr>
        <w:t>条（政务服务）</w:t>
      </w:r>
      <w:r>
        <w:rPr>
          <w:rFonts w:hint="eastAsia" w:ascii="仿宋_GB2312" w:hAnsi="仿宋_GB2312" w:eastAsia="仿宋_GB2312" w:cs="仿宋_GB2312"/>
          <w:b w:val="0"/>
          <w:bCs w:val="0"/>
          <w:i w:val="0"/>
          <w:color w:val="000000"/>
          <w:sz w:val="32"/>
          <w:szCs w:val="32"/>
          <w:u w:val="none"/>
          <w:lang w:val="en-US" w:eastAsia="zh-CN"/>
        </w:rPr>
        <w:t xml:space="preserve">  许可部门可以通过提供审查装修布局图、预约进行现场指导等证前指导服务方式</w:t>
      </w:r>
      <w:r>
        <w:rPr>
          <w:rFonts w:hint="eastAsia" w:ascii="仿宋_GB2312" w:hAnsi="仿宋_GB2312" w:eastAsia="仿宋_GB2312" w:cs="仿宋_GB2312"/>
          <w:b w:val="0"/>
          <w:bCs w:val="0"/>
          <w:sz w:val="32"/>
          <w:szCs w:val="32"/>
        </w:rPr>
        <w:t>，提前介入企业筹备环节，帮助企业降低办事制度性交易成本，提升</w:t>
      </w:r>
      <w:r>
        <w:rPr>
          <w:rFonts w:hint="eastAsia" w:ascii="仿宋_GB2312" w:hAnsi="仿宋_GB2312" w:eastAsia="仿宋_GB2312" w:cs="仿宋_GB2312"/>
          <w:b w:val="0"/>
          <w:bCs w:val="0"/>
          <w:sz w:val="32"/>
          <w:szCs w:val="32"/>
          <w:lang w:eastAsia="zh-CN"/>
        </w:rPr>
        <w:t>食品经营许可</w:t>
      </w:r>
      <w:r>
        <w:rPr>
          <w:rFonts w:hint="eastAsia" w:ascii="仿宋_GB2312" w:hAnsi="仿宋_GB2312" w:eastAsia="仿宋_GB2312" w:cs="仿宋_GB2312"/>
          <w:b w:val="0"/>
          <w:bCs w:val="0"/>
          <w:sz w:val="32"/>
          <w:szCs w:val="32"/>
        </w:rPr>
        <w:t>效率。</w:t>
      </w:r>
    </w:p>
    <w:p w14:paraId="40B5CD4E">
      <w:pPr>
        <w:numPr>
          <w:ilvl w:val="0"/>
          <w:numId w:val="0"/>
        </w:numPr>
        <w:pBdr>
          <w:top w:val="none" w:color="000000" w:sz="0" w:space="0"/>
          <w:left w:val="none" w:color="000000" w:sz="0" w:space="0"/>
          <w:bottom w:val="none" w:color="000000" w:sz="0" w:space="31"/>
          <w:right w:val="none" w:color="000000" w:sz="0" w:space="0"/>
        </w:pBdr>
        <w:autoSpaceDN w:val="0"/>
        <w:ind w:firstLine="560" w:firstLineChars="200"/>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lang w:eastAsia="zh-CN"/>
        </w:rPr>
        <w:t>说明：鼓励各地通过证前指导服务等方式提升便利化水平。</w:t>
      </w:r>
    </w:p>
    <w:p w14:paraId="78298233">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eastAsia="仿宋"/>
          <w:kern w:val="0"/>
          <w:szCs w:val="32"/>
        </w:rPr>
      </w:pPr>
      <w:r>
        <w:rPr>
          <w:rFonts w:hint="eastAsia" w:eastAsia="仿宋"/>
          <w:b/>
          <w:bCs/>
          <w:kern w:val="0"/>
          <w:szCs w:val="32"/>
        </w:rPr>
        <w:t>第</w:t>
      </w:r>
      <w:r>
        <w:rPr>
          <w:rFonts w:hint="eastAsia" w:eastAsia="仿宋"/>
          <w:b/>
          <w:bCs/>
          <w:kern w:val="0"/>
          <w:szCs w:val="32"/>
          <w:lang w:eastAsia="zh-CN"/>
        </w:rPr>
        <w:t>三</w:t>
      </w:r>
      <w:r>
        <w:rPr>
          <w:rFonts w:hint="eastAsia" w:eastAsia="仿宋"/>
          <w:b/>
          <w:bCs/>
          <w:kern w:val="0"/>
          <w:szCs w:val="32"/>
        </w:rPr>
        <w:t>十</w:t>
      </w:r>
      <w:r>
        <w:rPr>
          <w:rFonts w:hint="eastAsia" w:eastAsia="仿宋"/>
          <w:b/>
          <w:bCs/>
          <w:kern w:val="0"/>
          <w:szCs w:val="32"/>
          <w:lang w:eastAsia="zh-CN"/>
        </w:rPr>
        <w:t>二</w:t>
      </w:r>
      <w:r>
        <w:rPr>
          <w:rFonts w:hint="eastAsia" w:eastAsia="仿宋"/>
          <w:b/>
          <w:bCs/>
          <w:kern w:val="0"/>
          <w:szCs w:val="32"/>
        </w:rPr>
        <w:t>条（信息平台建设）</w:t>
      </w:r>
      <w:r>
        <w:rPr>
          <w:rFonts w:hint="eastAsia" w:eastAsia="仿宋"/>
          <w:kern w:val="0"/>
          <w:szCs w:val="32"/>
        </w:rPr>
        <w:t xml:space="preserve">  县级以上地方市场监督管理部门应当加强食品经营许可和备案信息化建设，实现食品经营许可（含报告）和备案全流程网上办理和数据互通共享，方便经营者通过互联网申请许可、备案及报告。自建许可和备案系统的市级市场监督管理部门应于每个工作日上传当天更新的许可和备案数据至省级市场监督管理部门。</w:t>
      </w:r>
    </w:p>
    <w:p w14:paraId="086FA83A">
      <w:pPr>
        <w:numPr>
          <w:ilvl w:val="0"/>
          <w:numId w:val="0"/>
        </w:numPr>
        <w:pBdr>
          <w:top w:val="none" w:color="000000" w:sz="0" w:space="0"/>
          <w:left w:val="none" w:color="000000" w:sz="0" w:space="0"/>
          <w:bottom w:val="none" w:color="000000" w:sz="0" w:space="31"/>
          <w:right w:val="none" w:color="000000" w:sz="0" w:space="0"/>
        </w:pBdr>
        <w:autoSpaceDN w:val="0"/>
        <w:ind w:firstLine="560" w:firstLineChars="200"/>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九条第二款规定，县级以上地方市场监督管理部门应当通过食品经营许可和备案管理信息平台实施食品经营许可和备案全流程网上办理。目前省局正在同步开发全流程网上许可系统（含报告），去年已上线仅销售预包装食品备案系统。</w:t>
      </w:r>
    </w:p>
    <w:p w14:paraId="0CFFCFDE">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ascii="仿宋" w:hAnsi="仿宋" w:eastAsia="仿宋" w:cs="仿宋"/>
          <w:szCs w:val="32"/>
        </w:rPr>
      </w:pPr>
      <w:r>
        <w:rPr>
          <w:rFonts w:hint="eastAsia" w:eastAsia="仿宋"/>
          <w:b/>
          <w:bCs/>
          <w:kern w:val="0"/>
          <w:szCs w:val="32"/>
        </w:rPr>
        <w:t>第</w:t>
      </w:r>
      <w:r>
        <w:rPr>
          <w:rFonts w:hint="eastAsia" w:eastAsia="仿宋"/>
          <w:b/>
          <w:bCs/>
          <w:kern w:val="0"/>
          <w:szCs w:val="32"/>
          <w:lang w:eastAsia="zh-CN"/>
        </w:rPr>
        <w:t>三</w:t>
      </w:r>
      <w:r>
        <w:rPr>
          <w:rFonts w:hint="eastAsia" w:eastAsia="仿宋"/>
          <w:b/>
          <w:bCs/>
          <w:kern w:val="0"/>
          <w:szCs w:val="32"/>
        </w:rPr>
        <w:t>十</w:t>
      </w:r>
      <w:r>
        <w:rPr>
          <w:rFonts w:hint="eastAsia" w:eastAsia="仿宋"/>
          <w:b/>
          <w:bCs/>
          <w:kern w:val="0"/>
          <w:szCs w:val="32"/>
          <w:lang w:eastAsia="zh-CN"/>
        </w:rPr>
        <w:t>三</w:t>
      </w:r>
      <w:r>
        <w:rPr>
          <w:rFonts w:hint="eastAsia" w:eastAsia="仿宋"/>
          <w:b/>
          <w:bCs/>
          <w:kern w:val="0"/>
          <w:szCs w:val="32"/>
        </w:rPr>
        <w:t>条（许可档案）</w:t>
      </w:r>
      <w:r>
        <w:rPr>
          <w:rFonts w:hint="eastAsia" w:eastAsia="仿宋"/>
          <w:kern w:val="0"/>
          <w:szCs w:val="32"/>
        </w:rPr>
        <w:t xml:space="preserve">  食品经营许可和备案部门应加强文书档案及电子档案管理工作，文书档案及电子档案应符合档案管理规定。</w:t>
      </w:r>
      <w:r>
        <w:rPr>
          <w:rFonts w:hint="eastAsia" w:ascii="仿宋" w:hAnsi="仿宋" w:eastAsia="仿宋" w:cs="仿宋"/>
          <w:szCs w:val="32"/>
        </w:rPr>
        <w:t>现场核查人员实施现场核查时可对食品经营场所布局流程、设备设施、专间及专用操作场所、食品仓库等拍摄照片或者影像，并归入食品经营许可档案。</w:t>
      </w:r>
    </w:p>
    <w:p w14:paraId="7A76F3BE">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ascii="仿宋" w:hAnsi="仿宋" w:eastAsia="仿宋" w:cs="仿宋"/>
          <w:szCs w:val="32"/>
        </w:rPr>
      </w:pPr>
      <w:r>
        <w:rPr>
          <w:rFonts w:eastAsia="仿宋"/>
          <w:b/>
          <w:bCs/>
          <w:kern w:val="0"/>
          <w:szCs w:val="32"/>
        </w:rPr>
        <w:t>第</w:t>
      </w:r>
      <w:r>
        <w:rPr>
          <w:rFonts w:hint="eastAsia" w:eastAsia="仿宋"/>
          <w:b/>
          <w:bCs/>
          <w:kern w:val="0"/>
          <w:szCs w:val="32"/>
        </w:rPr>
        <w:t>三十</w:t>
      </w:r>
      <w:r>
        <w:rPr>
          <w:rFonts w:hint="eastAsia" w:eastAsia="仿宋"/>
          <w:b/>
          <w:bCs/>
          <w:kern w:val="0"/>
          <w:szCs w:val="32"/>
          <w:lang w:eastAsia="zh-CN"/>
        </w:rPr>
        <w:t>四</w:t>
      </w:r>
      <w:r>
        <w:rPr>
          <w:rFonts w:eastAsia="仿宋"/>
          <w:b/>
          <w:bCs/>
          <w:kern w:val="0"/>
          <w:szCs w:val="32"/>
        </w:rPr>
        <w:t>条</w:t>
      </w:r>
      <w:r>
        <w:rPr>
          <w:rFonts w:hint="eastAsia" w:eastAsia="仿宋"/>
          <w:b/>
          <w:bCs/>
          <w:kern w:val="0"/>
          <w:szCs w:val="32"/>
        </w:rPr>
        <w:t>（</w:t>
      </w:r>
      <w:r>
        <w:rPr>
          <w:rFonts w:hint="eastAsia" w:eastAsia="仿宋"/>
          <w:b/>
          <w:bCs/>
          <w:kern w:val="0"/>
          <w:szCs w:val="32"/>
          <w:lang w:eastAsia="zh-CN"/>
        </w:rPr>
        <w:t>食品安全评估</w:t>
      </w:r>
      <w:r>
        <w:rPr>
          <w:rFonts w:hint="eastAsia" w:eastAsia="仿宋"/>
          <w:b/>
          <w:bCs/>
          <w:kern w:val="0"/>
          <w:szCs w:val="32"/>
        </w:rPr>
        <w:t>）</w:t>
      </w:r>
      <w:r>
        <w:rPr>
          <w:rFonts w:hint="eastAsia" w:eastAsia="仿宋"/>
          <w:b/>
          <w:bCs/>
          <w:kern w:val="0"/>
          <w:szCs w:val="32"/>
          <w:lang w:val="en-US" w:eastAsia="zh-CN"/>
        </w:rPr>
        <w:t xml:space="preserve">  </w:t>
      </w:r>
      <w:r>
        <w:rPr>
          <w:rFonts w:hint="eastAsia" w:ascii="仿宋" w:hAnsi="仿宋" w:eastAsia="仿宋" w:cs="仿宋"/>
          <w:szCs w:val="32"/>
          <w:lang w:val="en-US" w:eastAsia="zh-CN"/>
        </w:rPr>
        <w:t>对食品经营新业态、新模式，市级市场监管部门可以自行组织或委托第三方机构开展食品安全评估，确有必要的，可以提请省市场监管局开展食品安全评估。评估意见可以作为行政许可审核的参考。</w:t>
      </w:r>
    </w:p>
    <w:p w14:paraId="04F48453">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eastAsia="仿宋"/>
          <w:kern w:val="0"/>
          <w:szCs w:val="32"/>
        </w:rPr>
      </w:pPr>
      <w:r>
        <w:rPr>
          <w:rFonts w:eastAsia="仿宋"/>
          <w:b/>
          <w:bCs/>
          <w:kern w:val="0"/>
          <w:szCs w:val="32"/>
        </w:rPr>
        <w:t>第</w:t>
      </w:r>
      <w:r>
        <w:rPr>
          <w:rFonts w:hint="eastAsia" w:eastAsia="仿宋"/>
          <w:b/>
          <w:bCs/>
          <w:kern w:val="0"/>
          <w:szCs w:val="32"/>
        </w:rPr>
        <w:t>三十</w:t>
      </w:r>
      <w:r>
        <w:rPr>
          <w:rFonts w:hint="eastAsia" w:eastAsia="仿宋"/>
          <w:b/>
          <w:bCs/>
          <w:kern w:val="0"/>
          <w:szCs w:val="32"/>
          <w:lang w:eastAsia="zh-CN"/>
        </w:rPr>
        <w:t>五</w:t>
      </w:r>
      <w:r>
        <w:rPr>
          <w:rFonts w:eastAsia="仿宋"/>
          <w:b/>
          <w:bCs/>
          <w:kern w:val="0"/>
          <w:szCs w:val="32"/>
        </w:rPr>
        <w:t>条</w:t>
      </w:r>
      <w:r>
        <w:rPr>
          <w:rFonts w:hint="eastAsia" w:eastAsia="仿宋"/>
          <w:b/>
          <w:bCs/>
          <w:kern w:val="0"/>
          <w:szCs w:val="32"/>
        </w:rPr>
        <w:t>（用语释义）</w:t>
      </w:r>
      <w:r>
        <w:rPr>
          <w:rFonts w:eastAsia="仿宋"/>
          <w:kern w:val="0"/>
          <w:szCs w:val="32"/>
        </w:rPr>
        <w:t>　本细则下列用语的含义：</w:t>
      </w:r>
    </w:p>
    <w:p w14:paraId="7EB82BA6">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大型餐馆，指</w:t>
      </w:r>
      <w:r>
        <w:rPr>
          <w:rFonts w:hint="eastAsia" w:eastAsia="仿宋"/>
          <w:kern w:val="0"/>
          <w:szCs w:val="32"/>
          <w:lang w:eastAsia="zh-CN"/>
        </w:rPr>
        <w:t>餐饮服务场所</w:t>
      </w:r>
      <w:r>
        <w:rPr>
          <w:rFonts w:eastAsia="仿宋"/>
          <w:kern w:val="0"/>
          <w:szCs w:val="32"/>
        </w:rPr>
        <w:t>使用面积在1000</w:t>
      </w:r>
      <w:r>
        <w:rPr>
          <w:rFonts w:hint="eastAsia" w:eastAsia="仿宋"/>
          <w:kern w:val="0"/>
          <w:szCs w:val="32"/>
        </w:rPr>
        <w:t>㎡</w:t>
      </w:r>
      <w:r>
        <w:rPr>
          <w:rFonts w:eastAsia="仿宋"/>
          <w:kern w:val="0"/>
          <w:szCs w:val="32"/>
        </w:rPr>
        <w:t>以上，以提供饭菜为主要经营项目的一种食品经营业态。</w:t>
      </w:r>
    </w:p>
    <w:p w14:paraId="62F3A655">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中型餐馆，指</w:t>
      </w:r>
      <w:r>
        <w:rPr>
          <w:rFonts w:hint="eastAsia" w:eastAsia="仿宋"/>
          <w:kern w:val="0"/>
          <w:szCs w:val="32"/>
          <w:lang w:eastAsia="zh-CN"/>
        </w:rPr>
        <w:t>餐饮服务</w:t>
      </w:r>
      <w:r>
        <w:rPr>
          <w:rFonts w:eastAsia="仿宋"/>
          <w:kern w:val="0"/>
          <w:szCs w:val="32"/>
        </w:rPr>
        <w:t>场所使用面积在200～1000</w:t>
      </w:r>
      <w:r>
        <w:rPr>
          <w:rFonts w:hint="eastAsia" w:eastAsia="仿宋"/>
          <w:kern w:val="0"/>
          <w:szCs w:val="32"/>
        </w:rPr>
        <w:t>㎡</w:t>
      </w:r>
      <w:r>
        <w:rPr>
          <w:rFonts w:eastAsia="仿宋"/>
          <w:kern w:val="0"/>
          <w:szCs w:val="32"/>
        </w:rPr>
        <w:t>（含1000m</w:t>
      </w:r>
      <w:r>
        <w:rPr>
          <w:rFonts w:eastAsia="仿宋"/>
          <w:kern w:val="0"/>
          <w:szCs w:val="32"/>
          <w:vertAlign w:val="superscript"/>
        </w:rPr>
        <w:t>2</w:t>
      </w:r>
      <w:r>
        <w:rPr>
          <w:rFonts w:eastAsia="仿宋"/>
          <w:kern w:val="0"/>
          <w:szCs w:val="32"/>
        </w:rPr>
        <w:t>），以提供饭菜为主要经营项目的一种食品经营业态。</w:t>
      </w:r>
    </w:p>
    <w:p w14:paraId="57480217">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小型餐馆，指</w:t>
      </w:r>
      <w:r>
        <w:rPr>
          <w:rFonts w:hint="eastAsia" w:eastAsia="仿宋"/>
          <w:kern w:val="0"/>
          <w:szCs w:val="32"/>
          <w:lang w:eastAsia="zh-CN"/>
        </w:rPr>
        <w:t>餐饮服务</w:t>
      </w:r>
      <w:r>
        <w:rPr>
          <w:rFonts w:eastAsia="仿宋"/>
          <w:kern w:val="0"/>
          <w:szCs w:val="32"/>
        </w:rPr>
        <w:t>场所使用面积在50～200</w:t>
      </w:r>
      <w:r>
        <w:rPr>
          <w:rFonts w:hint="eastAsia" w:eastAsia="仿宋"/>
          <w:kern w:val="0"/>
          <w:szCs w:val="32"/>
        </w:rPr>
        <w:t>㎡</w:t>
      </w:r>
      <w:r>
        <w:rPr>
          <w:rFonts w:eastAsia="仿宋"/>
          <w:kern w:val="0"/>
          <w:szCs w:val="32"/>
        </w:rPr>
        <w:t>（含200m</w:t>
      </w:r>
      <w:r>
        <w:rPr>
          <w:rFonts w:eastAsia="仿宋"/>
          <w:kern w:val="0"/>
          <w:szCs w:val="32"/>
          <w:vertAlign w:val="superscript"/>
        </w:rPr>
        <w:t>2</w:t>
      </w:r>
      <w:r>
        <w:rPr>
          <w:rFonts w:eastAsia="仿宋"/>
          <w:kern w:val="0"/>
          <w:szCs w:val="32"/>
        </w:rPr>
        <w:t>），以提供饭菜为主要经营项目的一种食品经营业态。</w:t>
      </w:r>
    </w:p>
    <w:p w14:paraId="79372D9C">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饮品店，指以供应现场制作的冷、热饮品为主要经营项目的一种食品经营业态</w:t>
      </w:r>
      <w:r>
        <w:rPr>
          <w:rFonts w:hint="eastAsia" w:eastAsia="仿宋"/>
          <w:kern w:val="0"/>
          <w:szCs w:val="32"/>
        </w:rPr>
        <w:t>，含凉茶店</w:t>
      </w:r>
      <w:r>
        <w:rPr>
          <w:rFonts w:eastAsia="仿宋"/>
          <w:kern w:val="0"/>
          <w:szCs w:val="32"/>
        </w:rPr>
        <w:t>。</w:t>
      </w:r>
    </w:p>
    <w:p w14:paraId="13D529E2">
      <w:pPr>
        <w:numPr>
          <w:ilvl w:val="0"/>
          <w:numId w:val="0"/>
        </w:numPr>
        <w:pBdr>
          <w:top w:val="none" w:color="000000" w:sz="0" w:space="0"/>
          <w:left w:val="none" w:color="000000" w:sz="0" w:space="0"/>
          <w:bottom w:val="none" w:color="000000" w:sz="0" w:space="31"/>
          <w:right w:val="none" w:color="000000" w:sz="0" w:space="0"/>
        </w:pBdr>
        <w:autoSpaceDN w:val="0"/>
        <w:ind w:firstLine="560" w:firstLineChars="200"/>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说明：为便于分类监管，在原许可项目子项里增加凉茶店，但是不打印在许可证上。</w:t>
      </w:r>
    </w:p>
    <w:p w14:paraId="7C2931EA">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糕点店，指以供应现场制作的中、西式糕点为主要经营项目的一种食品经营业态。</w:t>
      </w:r>
    </w:p>
    <w:p w14:paraId="602C0D44">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eastAsia="仿宋"/>
          <w:kern w:val="0"/>
          <w:szCs w:val="32"/>
        </w:rPr>
      </w:pPr>
      <w:r>
        <w:rPr>
          <w:rFonts w:eastAsia="仿宋"/>
          <w:kern w:val="0"/>
          <w:szCs w:val="32"/>
        </w:rPr>
        <w:t>小餐饮，指</w:t>
      </w:r>
      <w:r>
        <w:rPr>
          <w:rFonts w:hint="eastAsia" w:eastAsia="仿宋"/>
          <w:kern w:val="0"/>
          <w:szCs w:val="32"/>
          <w:lang w:eastAsia="zh-CN"/>
        </w:rPr>
        <w:t>餐饮服务</w:t>
      </w:r>
      <w:r>
        <w:rPr>
          <w:rFonts w:eastAsia="仿宋"/>
          <w:kern w:val="0"/>
          <w:szCs w:val="32"/>
        </w:rPr>
        <w:t>场所使用面积在50</w:t>
      </w:r>
      <w:r>
        <w:rPr>
          <w:rFonts w:hint="eastAsia" w:eastAsia="仿宋"/>
          <w:kern w:val="0"/>
          <w:szCs w:val="32"/>
        </w:rPr>
        <w:t>㎡</w:t>
      </w:r>
      <w:r>
        <w:rPr>
          <w:rFonts w:eastAsia="仿宋"/>
          <w:kern w:val="0"/>
          <w:szCs w:val="32"/>
        </w:rPr>
        <w:t>以下（含50</w:t>
      </w:r>
      <w:r>
        <w:rPr>
          <w:rFonts w:hint="eastAsia" w:eastAsia="仿宋"/>
          <w:kern w:val="0"/>
          <w:szCs w:val="32"/>
        </w:rPr>
        <w:t>㎡</w:t>
      </w:r>
      <w:r>
        <w:rPr>
          <w:rFonts w:eastAsia="仿宋"/>
          <w:kern w:val="0"/>
          <w:szCs w:val="32"/>
        </w:rPr>
        <w:t>）的规模较小的餐饮服务经营者</w:t>
      </w:r>
      <w:r>
        <w:rPr>
          <w:rFonts w:hint="eastAsia" w:eastAsia="仿宋"/>
          <w:kern w:val="0"/>
          <w:szCs w:val="32"/>
        </w:rPr>
        <w:t>。</w:t>
      </w:r>
      <w:r>
        <w:rPr>
          <w:rFonts w:eastAsia="仿宋"/>
          <w:kern w:val="0"/>
          <w:szCs w:val="32"/>
        </w:rPr>
        <w:t>农村地区小餐饮的面积标准各地可根据实际情况适当调整至100</w:t>
      </w:r>
      <w:r>
        <w:rPr>
          <w:rFonts w:hint="eastAsia" w:eastAsia="仿宋"/>
          <w:kern w:val="0"/>
          <w:szCs w:val="32"/>
        </w:rPr>
        <w:t>㎡</w:t>
      </w:r>
      <w:r>
        <w:rPr>
          <w:rFonts w:eastAsia="仿宋"/>
          <w:kern w:val="0"/>
          <w:szCs w:val="32"/>
        </w:rPr>
        <w:t>以下，具体由各地级以上市市场监督管理部门确定。</w:t>
      </w:r>
    </w:p>
    <w:p w14:paraId="244CF89E">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lang w:eastAsia="zh-CN"/>
        </w:rPr>
      </w:pPr>
      <w:r>
        <w:rPr>
          <w:rFonts w:hint="eastAsia" w:ascii="方正楷体_GBK" w:hAnsi="方正楷体_GBK" w:eastAsia="方正楷体_GBK" w:cs="方正楷体_GBK"/>
          <w:bCs/>
          <w:sz w:val="28"/>
          <w:szCs w:val="28"/>
        </w:rPr>
        <w:t>说明：原广东省许可细则小餐饮是以面积区别，凡50㎡（含）以下划入小餐饮，</w:t>
      </w:r>
      <w:r>
        <w:rPr>
          <w:rFonts w:hint="eastAsia" w:ascii="方正楷体_GBK" w:hAnsi="方正楷体_GBK" w:eastAsia="方正楷体_GBK" w:cs="方正楷体_GBK"/>
          <w:bCs/>
          <w:sz w:val="28"/>
          <w:szCs w:val="28"/>
          <w:lang w:eastAsia="zh-CN"/>
        </w:rPr>
        <w:t>此款延用原细则的规定。</w:t>
      </w:r>
    </w:p>
    <w:p w14:paraId="5830637B">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hint="eastAsia" w:ascii="Calibri" w:hAnsi="Calibri" w:eastAsia="仿宋" w:cs="Times New Roman"/>
          <w:b w:val="0"/>
          <w:kern w:val="0"/>
          <w:sz w:val="32"/>
          <w:szCs w:val="32"/>
          <w:lang w:val="en-US" w:eastAsia="zh-CN" w:bidi="ar-SA"/>
        </w:rPr>
      </w:pPr>
      <w:r>
        <w:rPr>
          <w:rFonts w:hint="eastAsia" w:ascii="Calibri" w:hAnsi="Calibri" w:eastAsia="仿宋" w:cs="Times New Roman"/>
          <w:b w:val="0"/>
          <w:kern w:val="0"/>
          <w:sz w:val="32"/>
          <w:szCs w:val="32"/>
          <w:lang w:val="en-US" w:eastAsia="zh-CN" w:bidi="ar-SA"/>
        </w:rPr>
        <w:t>主要设备设施，指加工制作设备设施、贮存设施、餐用具清洗、消毒和保洁设施设等发生较大改变后有可能在食品加工过程中造成交叉污染的设备设施。</w:t>
      </w:r>
    </w:p>
    <w:p w14:paraId="16ABFBBC">
      <w:pPr>
        <w:numPr>
          <w:ilvl w:val="0"/>
          <w:numId w:val="0"/>
        </w:numPr>
        <w:pBdr>
          <w:top w:val="none" w:color="000000" w:sz="0" w:space="0"/>
          <w:left w:val="none" w:color="000000" w:sz="0" w:space="0"/>
          <w:bottom w:val="none" w:color="000000" w:sz="0" w:space="31"/>
          <w:right w:val="none" w:color="000000" w:sz="0" w:space="0"/>
        </w:pBdr>
        <w:autoSpaceDN w:val="0"/>
        <w:ind w:firstLine="640" w:firstLineChars="200"/>
        <w:rPr>
          <w:rFonts w:hint="eastAsia"/>
          <w:lang w:val="en-US" w:eastAsia="zh-CN"/>
        </w:rPr>
      </w:pPr>
      <w:r>
        <w:rPr>
          <w:rFonts w:hint="eastAsia"/>
          <w:lang w:val="en-US" w:eastAsia="zh-CN"/>
        </w:rPr>
        <w:t>连锁食品经营，指使用统一品牌、统一采购配送、统一质量管理、统一经营指导，直营门店或者加盟店具有相似或者标准化的设施设备、布局流程、加工过程的经营模式。</w:t>
      </w:r>
    </w:p>
    <w:p w14:paraId="37BD1B83">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eastAsia="仿宋"/>
          <w:kern w:val="0"/>
          <w:szCs w:val="32"/>
        </w:rPr>
      </w:pPr>
      <w:r>
        <w:rPr>
          <w:rFonts w:eastAsia="仿宋"/>
          <w:b/>
          <w:bCs/>
          <w:kern w:val="0"/>
          <w:szCs w:val="32"/>
        </w:rPr>
        <w:t>第</w:t>
      </w:r>
      <w:r>
        <w:rPr>
          <w:rFonts w:hint="eastAsia" w:eastAsia="仿宋"/>
          <w:b/>
          <w:bCs/>
          <w:kern w:val="0"/>
          <w:szCs w:val="32"/>
        </w:rPr>
        <w:t>三十</w:t>
      </w:r>
      <w:r>
        <w:rPr>
          <w:rFonts w:hint="eastAsia" w:eastAsia="仿宋"/>
          <w:b/>
          <w:bCs/>
          <w:kern w:val="0"/>
          <w:szCs w:val="32"/>
          <w:lang w:eastAsia="zh-CN"/>
        </w:rPr>
        <w:t>六</w:t>
      </w:r>
      <w:r>
        <w:rPr>
          <w:rFonts w:eastAsia="仿宋"/>
          <w:b/>
          <w:bCs/>
          <w:kern w:val="0"/>
          <w:szCs w:val="32"/>
        </w:rPr>
        <w:t>条</w:t>
      </w:r>
      <w:r>
        <w:rPr>
          <w:rFonts w:hint="eastAsia" w:eastAsia="仿宋"/>
          <w:b/>
          <w:bCs/>
          <w:kern w:val="0"/>
          <w:szCs w:val="32"/>
        </w:rPr>
        <w:t>（许可例外）</w:t>
      </w:r>
      <w:r>
        <w:rPr>
          <w:rFonts w:eastAsia="仿宋"/>
          <w:kern w:val="0"/>
          <w:szCs w:val="32"/>
        </w:rPr>
        <w:t>　供餐人数在50人以下的</w:t>
      </w:r>
      <w:r>
        <w:rPr>
          <w:rFonts w:hint="eastAsia" w:eastAsia="仿宋"/>
          <w:kern w:val="0"/>
          <w:szCs w:val="32"/>
        </w:rPr>
        <w:t>集中用餐单位食堂（</w:t>
      </w:r>
      <w:r>
        <w:rPr>
          <w:rFonts w:hint="eastAsia" w:eastAsia="仿宋"/>
          <w:kern w:val="0"/>
          <w:szCs w:val="32"/>
          <w:lang w:eastAsia="zh-CN"/>
        </w:rPr>
        <w:t>为学生提供就餐服务的</w:t>
      </w:r>
      <w:r>
        <w:rPr>
          <w:rFonts w:hint="eastAsia" w:eastAsia="仿宋"/>
          <w:kern w:val="0"/>
          <w:szCs w:val="32"/>
        </w:rPr>
        <w:t>学校、托幼机构、养老机构</w:t>
      </w:r>
      <w:r>
        <w:rPr>
          <w:rFonts w:hint="eastAsia" w:eastAsia="仿宋"/>
          <w:kern w:val="0"/>
          <w:szCs w:val="32"/>
          <w:lang w:eastAsia="zh-CN"/>
        </w:rPr>
        <w:t>食堂</w:t>
      </w:r>
      <w:r>
        <w:rPr>
          <w:rFonts w:hint="eastAsia" w:eastAsia="仿宋" w:cs="Times New Roman"/>
          <w:kern w:val="0"/>
          <w:szCs w:val="32"/>
          <w:u w:val="none"/>
          <w:lang w:val="en-US" w:eastAsia="zh-CN"/>
        </w:rPr>
        <w:t>、</w:t>
      </w:r>
      <w:r>
        <w:rPr>
          <w:rFonts w:hint="eastAsia" w:eastAsia="仿宋" w:cs="Times New Roman"/>
          <w:kern w:val="0"/>
          <w:szCs w:val="32"/>
          <w:lang w:eastAsia="zh-CN"/>
        </w:rPr>
        <w:t>月子中心食堂、托育机构食堂、长者食堂、</w:t>
      </w:r>
      <w:r>
        <w:rPr>
          <w:rFonts w:hint="eastAsia" w:eastAsia="仿宋" w:cs="Times New Roman"/>
          <w:kern w:val="0"/>
          <w:szCs w:val="32"/>
        </w:rPr>
        <w:t>培训机构食堂、</w:t>
      </w:r>
      <w:r>
        <w:rPr>
          <w:rFonts w:hint="eastAsia" w:eastAsia="仿宋"/>
          <w:kern w:val="0"/>
          <w:szCs w:val="32"/>
          <w:u w:val="none"/>
        </w:rPr>
        <w:t>校外</w:t>
      </w:r>
      <w:r>
        <w:rPr>
          <w:rFonts w:hint="eastAsia" w:eastAsia="仿宋" w:cs="Times New Roman"/>
          <w:kern w:val="0"/>
          <w:szCs w:val="32"/>
          <w:u w:val="none"/>
        </w:rPr>
        <w:t>托管机构</w:t>
      </w:r>
      <w:r>
        <w:rPr>
          <w:rFonts w:hint="eastAsia" w:eastAsia="仿宋" w:cs="Times New Roman"/>
          <w:kern w:val="0"/>
          <w:szCs w:val="32"/>
          <w:u w:val="none"/>
          <w:lang w:eastAsia="zh-CN"/>
        </w:rPr>
        <w:t>食堂</w:t>
      </w:r>
      <w:r>
        <w:rPr>
          <w:rFonts w:hint="eastAsia" w:eastAsia="仿宋"/>
          <w:kern w:val="0"/>
          <w:szCs w:val="32"/>
        </w:rPr>
        <w:t>除外），以及</w:t>
      </w:r>
      <w:r>
        <w:rPr>
          <w:rFonts w:eastAsia="仿宋"/>
          <w:kern w:val="0"/>
          <w:szCs w:val="32"/>
        </w:rPr>
        <w:t>以简单加工学生自带粮食、蔬菜或以为学生热饭为主的规模小的农村学校，不纳入食品经营许可范畴。</w:t>
      </w:r>
    </w:p>
    <w:p w14:paraId="0C3878EE">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六十四条规定，省、自治区、直辖市依照《中华人民共和国食品安全法》第三十六条的规定对食品摊贩、小餐饮、小食品店等的监督管理作出规定的，依照其规定执行。其中，规定对用餐人数较少的小型食堂（学校、托幼机构、养老机构的食堂除外）参照小餐饮管理的，依照其规定；未作出规定的，省、自治区、直辖市市场监督管理部门可以制定具体管理办法，明确纳入食品经营活动管理的具体人数范围等监督管理要求。本条基本延用了原许可细则的规定，</w:t>
      </w:r>
      <w:r>
        <w:rPr>
          <w:rFonts w:hint="eastAsia" w:ascii="方正楷体_GBK" w:hAnsi="方正楷体_GBK" w:eastAsia="方正楷体_GBK" w:cs="方正楷体_GBK"/>
          <w:bCs/>
          <w:sz w:val="28"/>
          <w:szCs w:val="28"/>
          <w:lang w:eastAsia="zh-CN"/>
        </w:rPr>
        <w:t>但规定为学生提供就餐服务的</w:t>
      </w:r>
      <w:r>
        <w:rPr>
          <w:rFonts w:hint="eastAsia" w:ascii="方正楷体_GBK" w:hAnsi="方正楷体_GBK" w:eastAsia="方正楷体_GBK" w:cs="方正楷体_GBK"/>
          <w:bCs/>
          <w:sz w:val="28"/>
          <w:szCs w:val="28"/>
        </w:rPr>
        <w:t>学校</w:t>
      </w:r>
      <w:r>
        <w:rPr>
          <w:rFonts w:hint="eastAsia" w:ascii="方正楷体_GBK" w:hAnsi="方正楷体_GBK" w:eastAsia="方正楷体_GBK" w:cs="方正楷体_GBK"/>
          <w:bCs/>
          <w:sz w:val="28"/>
          <w:szCs w:val="28"/>
          <w:lang w:eastAsia="zh-CN"/>
        </w:rPr>
        <w:t>（不含仅为教师提供就餐的学校）</w:t>
      </w:r>
      <w:r>
        <w:rPr>
          <w:rFonts w:hint="eastAsia" w:ascii="方正楷体_GBK" w:hAnsi="方正楷体_GBK" w:eastAsia="方正楷体_GBK" w:cs="方正楷体_GBK"/>
          <w:bCs/>
          <w:sz w:val="28"/>
          <w:szCs w:val="28"/>
        </w:rPr>
        <w:t>、托幼机构、养老机构</w:t>
      </w:r>
      <w:r>
        <w:rPr>
          <w:rFonts w:hint="eastAsia" w:ascii="方正楷体_GBK" w:hAnsi="方正楷体_GBK" w:eastAsia="方正楷体_GBK" w:cs="方正楷体_GBK"/>
          <w:bCs/>
          <w:sz w:val="28"/>
          <w:szCs w:val="28"/>
          <w:lang w:eastAsia="zh-CN"/>
        </w:rPr>
        <w:t>食堂</w:t>
      </w:r>
      <w:r>
        <w:rPr>
          <w:rFonts w:hint="eastAsia" w:ascii="方正楷体_GBK" w:hAnsi="方正楷体_GBK" w:eastAsia="方正楷体_GBK" w:cs="方正楷体_GBK"/>
          <w:bCs/>
          <w:sz w:val="28"/>
          <w:szCs w:val="28"/>
          <w:lang w:val="en-US" w:eastAsia="zh-CN"/>
        </w:rPr>
        <w:t>、</w:t>
      </w:r>
      <w:r>
        <w:rPr>
          <w:rFonts w:hint="eastAsia" w:ascii="方正楷体_GBK" w:hAnsi="方正楷体_GBK" w:eastAsia="方正楷体_GBK" w:cs="方正楷体_GBK"/>
          <w:bCs/>
          <w:sz w:val="28"/>
          <w:szCs w:val="28"/>
          <w:lang w:eastAsia="zh-CN"/>
        </w:rPr>
        <w:t>月子中心食堂、托育机构食堂、长者食堂、</w:t>
      </w:r>
      <w:r>
        <w:rPr>
          <w:rFonts w:hint="eastAsia" w:ascii="方正楷体_GBK" w:hAnsi="方正楷体_GBK" w:eastAsia="方正楷体_GBK" w:cs="方正楷体_GBK"/>
          <w:bCs/>
          <w:sz w:val="28"/>
          <w:szCs w:val="28"/>
        </w:rPr>
        <w:t>培训机构食堂、校外托管机构</w:t>
      </w:r>
      <w:r>
        <w:rPr>
          <w:rFonts w:hint="eastAsia" w:ascii="方正楷体_GBK" w:hAnsi="方正楷体_GBK" w:eastAsia="方正楷体_GBK" w:cs="方正楷体_GBK"/>
          <w:bCs/>
          <w:sz w:val="28"/>
          <w:szCs w:val="28"/>
          <w:lang w:eastAsia="zh-CN"/>
        </w:rPr>
        <w:t>食堂，即“一老一小”不适用许可例外的规定。</w:t>
      </w:r>
      <w:r>
        <w:rPr>
          <w:rFonts w:hint="eastAsia" w:ascii="方正楷体_GBK" w:hAnsi="方正楷体_GBK" w:eastAsia="方正楷体_GBK" w:cs="方正楷体_GBK"/>
          <w:bCs/>
          <w:sz w:val="28"/>
          <w:szCs w:val="28"/>
        </w:rPr>
        <w:t>原</w:t>
      </w:r>
      <w:r>
        <w:rPr>
          <w:rFonts w:hint="eastAsia" w:ascii="方正楷体_GBK" w:hAnsi="方正楷体_GBK" w:eastAsia="方正楷体_GBK" w:cs="方正楷体_GBK"/>
          <w:bCs/>
          <w:sz w:val="28"/>
          <w:szCs w:val="28"/>
          <w:lang w:eastAsia="zh-CN"/>
        </w:rPr>
        <w:t>《广东省市场监督管理局关于食品经营</w:t>
      </w:r>
      <w:r>
        <w:rPr>
          <w:rFonts w:hint="eastAsia" w:ascii="方正楷体_GBK" w:hAnsi="方正楷体_GBK" w:eastAsia="方正楷体_GBK" w:cs="方正楷体_GBK"/>
          <w:bCs/>
          <w:sz w:val="28"/>
          <w:szCs w:val="28"/>
        </w:rPr>
        <w:t>许可</w:t>
      </w:r>
      <w:r>
        <w:rPr>
          <w:rFonts w:hint="eastAsia" w:ascii="方正楷体_GBK" w:hAnsi="方正楷体_GBK" w:eastAsia="方正楷体_GBK" w:cs="方正楷体_GBK"/>
          <w:bCs/>
          <w:sz w:val="28"/>
          <w:szCs w:val="28"/>
          <w:lang w:eastAsia="zh-CN"/>
        </w:rPr>
        <w:t>的实施</w:t>
      </w:r>
      <w:r>
        <w:rPr>
          <w:rFonts w:hint="eastAsia" w:ascii="方正楷体_GBK" w:hAnsi="方正楷体_GBK" w:eastAsia="方正楷体_GBK" w:cs="方正楷体_GBK"/>
          <w:bCs/>
          <w:sz w:val="28"/>
          <w:szCs w:val="28"/>
        </w:rPr>
        <w:t>细则</w:t>
      </w:r>
      <w:r>
        <w:rPr>
          <w:rFonts w:hint="eastAsia" w:ascii="方正楷体_GBK" w:hAnsi="方正楷体_GBK" w:eastAsia="方正楷体_GBK" w:cs="方正楷体_GBK"/>
          <w:bCs/>
          <w:sz w:val="28"/>
          <w:szCs w:val="28"/>
          <w:lang w:eastAsia="zh-CN"/>
        </w:rPr>
        <w:t>》</w:t>
      </w:r>
      <w:r>
        <w:rPr>
          <w:rFonts w:hint="eastAsia" w:ascii="方正楷体_GBK" w:hAnsi="方正楷体_GBK" w:eastAsia="方正楷体_GBK" w:cs="方正楷体_GBK"/>
          <w:bCs/>
          <w:sz w:val="28"/>
          <w:szCs w:val="28"/>
        </w:rPr>
        <w:t>第四十四条规定，供餐人数在50人以下的机关、企事业单位以及以简单加工学生自带粮食、蔬菜或以为学生热饭为主的规模小的农村学校，其供餐场所暂不纳入食品经营许可范畴。许可例外制度主要考虑小型食堂存在经营不稳定、流动性强的特点，例如小型工地食堂，</w:t>
      </w:r>
      <w:r>
        <w:rPr>
          <w:rFonts w:hint="eastAsia" w:ascii="方正楷体_GBK" w:hAnsi="方正楷体_GBK" w:eastAsia="方正楷体_GBK" w:cs="方正楷体_GBK"/>
          <w:bCs/>
          <w:sz w:val="28"/>
          <w:szCs w:val="28"/>
          <w:lang w:eastAsia="zh-CN"/>
        </w:rPr>
        <w:t>小型企事业单位食堂，</w:t>
      </w:r>
      <w:r>
        <w:rPr>
          <w:rFonts w:hint="eastAsia" w:ascii="方正楷体_GBK" w:hAnsi="方正楷体_GBK" w:eastAsia="方正楷体_GBK" w:cs="方正楷体_GBK"/>
          <w:bCs/>
          <w:sz w:val="28"/>
          <w:szCs w:val="28"/>
        </w:rPr>
        <w:t>许可时需要对集中用餐单位食堂进行风险分类，并且就餐人数较少的集中用餐单位食堂其供餐品种比较简单、供餐量较小、供餐时间较短，其食品安全风险较低，可以发挥其自我管理的能力，所以规定此类食堂不需办理许可，以50人为限。</w:t>
      </w:r>
    </w:p>
    <w:p w14:paraId="18264BED">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ascii="Calibri" w:hAnsi="Calibri"/>
          <w:kern w:val="0"/>
          <w:sz w:val="32"/>
          <w:szCs w:val="32"/>
        </w:rPr>
      </w:pPr>
      <w:r>
        <w:rPr>
          <w:rFonts w:hint="eastAsia" w:ascii="Calibri" w:hAnsi="Calibri"/>
          <w:b/>
          <w:bCs/>
          <w:kern w:val="0"/>
          <w:sz w:val="32"/>
          <w:szCs w:val="32"/>
        </w:rPr>
        <w:t>第三十</w:t>
      </w:r>
      <w:r>
        <w:rPr>
          <w:rFonts w:hint="eastAsia"/>
          <w:b/>
          <w:bCs/>
          <w:kern w:val="0"/>
          <w:sz w:val="32"/>
          <w:szCs w:val="32"/>
          <w:lang w:eastAsia="zh-CN"/>
        </w:rPr>
        <w:t>七</w:t>
      </w:r>
      <w:r>
        <w:rPr>
          <w:rFonts w:hint="eastAsia" w:ascii="Calibri" w:hAnsi="Calibri"/>
          <w:b/>
          <w:bCs/>
          <w:kern w:val="0"/>
          <w:sz w:val="32"/>
          <w:szCs w:val="32"/>
        </w:rPr>
        <w:t>条（</w:t>
      </w:r>
      <w:r>
        <w:rPr>
          <w:rFonts w:hint="eastAsia" w:ascii="Calibri" w:hAnsi="Calibri"/>
          <w:b/>
          <w:bCs/>
          <w:kern w:val="0"/>
          <w:sz w:val="32"/>
          <w:szCs w:val="32"/>
          <w:lang w:eastAsia="zh-CN"/>
        </w:rPr>
        <w:t>第三方</w:t>
      </w:r>
      <w:r>
        <w:rPr>
          <w:rFonts w:hint="eastAsia" w:ascii="Calibri" w:hAnsi="Calibri"/>
          <w:b/>
          <w:bCs/>
          <w:kern w:val="0"/>
          <w:sz w:val="32"/>
          <w:szCs w:val="32"/>
        </w:rPr>
        <w:t xml:space="preserve">冷库备案） </w:t>
      </w:r>
      <w:r>
        <w:rPr>
          <w:rFonts w:hint="eastAsia" w:ascii="Calibri" w:hAnsi="Calibri"/>
          <w:kern w:val="0"/>
          <w:sz w:val="32"/>
          <w:szCs w:val="32"/>
        </w:rPr>
        <w:t xml:space="preserve"> 从事对温度、湿度等有特殊要求食品贮存业务的非食品生产经营者备案参照《食品经营许可和备案管理办法》中仅销售预包装食品备案管理。《广东省市场监督管理局关于对从事冷藏冷冻食品贮存服务的非食品生产经营者备案的通告》（粤市监规字〔2020〕5号）对备案、变更要求与《食品经营许可和备案管理办法》不一致的，按该办法执行。</w:t>
      </w:r>
    </w:p>
    <w:p w14:paraId="05E1444B">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说明：总局办法第六十五条规定， 从事对温度、湿度等有特殊要求食品贮存业务的非食品生产经营者备案参照仅销售预包装食品备案管理。</w:t>
      </w:r>
    </w:p>
    <w:p w14:paraId="1C3369E2">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ascii="Calibri" w:hAnsi="Calibri"/>
          <w:kern w:val="0"/>
          <w:sz w:val="32"/>
          <w:szCs w:val="32"/>
        </w:rPr>
      </w:pPr>
      <w:r>
        <w:rPr>
          <w:rFonts w:hint="eastAsia" w:ascii="Calibri" w:hAnsi="Calibri"/>
          <w:b/>
          <w:bCs/>
          <w:kern w:val="0"/>
          <w:sz w:val="32"/>
          <w:szCs w:val="32"/>
        </w:rPr>
        <w:t>第三十</w:t>
      </w:r>
      <w:r>
        <w:rPr>
          <w:rFonts w:hint="eastAsia"/>
          <w:b/>
          <w:bCs/>
          <w:kern w:val="0"/>
          <w:sz w:val="32"/>
          <w:szCs w:val="32"/>
          <w:lang w:eastAsia="zh-CN"/>
        </w:rPr>
        <w:t>八</w:t>
      </w:r>
      <w:r>
        <w:rPr>
          <w:rFonts w:hint="eastAsia" w:ascii="Calibri" w:hAnsi="Calibri"/>
          <w:b/>
          <w:bCs/>
          <w:kern w:val="0"/>
          <w:sz w:val="32"/>
          <w:szCs w:val="32"/>
        </w:rPr>
        <w:t>条</w:t>
      </w:r>
      <w:r>
        <w:rPr>
          <w:rFonts w:hint="eastAsia" w:ascii="Calibri" w:hAnsi="Calibri"/>
          <w:b/>
          <w:bCs/>
          <w:kern w:val="0"/>
          <w:sz w:val="32"/>
          <w:szCs w:val="32"/>
          <w:lang w:eastAsia="zh-CN"/>
        </w:rPr>
        <w:t>（散装食品）</w:t>
      </w:r>
      <w:r>
        <w:rPr>
          <w:rFonts w:hint="eastAsia" w:ascii="Calibri" w:hAnsi="Calibri"/>
          <w:kern w:val="0"/>
          <w:sz w:val="32"/>
          <w:szCs w:val="32"/>
        </w:rPr>
        <w:t xml:space="preserve">  《广东省市场监督管理局关于印发&lt;广东省市场监督管理局散装食品经营管理规范&gt;的通知》(粤市监规字〔2022〕9号)与《食品经营许可和备案管理办法》以及本实施细则不一致的，按《食品经营许可和备案管理办法》以及本实施细则执行。</w:t>
      </w:r>
    </w:p>
    <w:p w14:paraId="43001E76">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eastAsia="仿宋"/>
          <w:kern w:val="0"/>
          <w:szCs w:val="32"/>
        </w:rPr>
      </w:pPr>
      <w:r>
        <w:rPr>
          <w:rFonts w:eastAsia="仿宋"/>
          <w:b/>
          <w:bCs/>
          <w:kern w:val="0"/>
          <w:szCs w:val="32"/>
        </w:rPr>
        <w:t>第</w:t>
      </w:r>
      <w:r>
        <w:rPr>
          <w:rFonts w:hint="eastAsia" w:eastAsia="仿宋"/>
          <w:b/>
          <w:bCs/>
          <w:kern w:val="0"/>
          <w:szCs w:val="32"/>
        </w:rPr>
        <w:t>三十</w:t>
      </w:r>
      <w:r>
        <w:rPr>
          <w:rFonts w:hint="eastAsia" w:eastAsia="仿宋"/>
          <w:b/>
          <w:bCs/>
          <w:kern w:val="0"/>
          <w:szCs w:val="32"/>
          <w:lang w:eastAsia="zh-CN"/>
        </w:rPr>
        <w:t>九</w:t>
      </w:r>
      <w:r>
        <w:rPr>
          <w:rFonts w:eastAsia="仿宋"/>
          <w:b/>
          <w:bCs/>
          <w:kern w:val="0"/>
          <w:szCs w:val="32"/>
        </w:rPr>
        <w:t>条</w:t>
      </w:r>
      <w:r>
        <w:rPr>
          <w:rFonts w:hint="eastAsia" w:eastAsia="仿宋"/>
          <w:b/>
          <w:bCs/>
          <w:kern w:val="0"/>
          <w:szCs w:val="32"/>
        </w:rPr>
        <w:t>（解释权）</w:t>
      </w:r>
      <w:r>
        <w:rPr>
          <w:rFonts w:eastAsia="仿宋"/>
          <w:kern w:val="0"/>
          <w:szCs w:val="32"/>
        </w:rPr>
        <w:t>　本</w:t>
      </w:r>
      <w:r>
        <w:rPr>
          <w:rFonts w:hint="eastAsia" w:eastAsia="仿宋"/>
          <w:kern w:val="0"/>
          <w:szCs w:val="32"/>
        </w:rPr>
        <w:t>实施细则</w:t>
      </w:r>
      <w:r>
        <w:rPr>
          <w:rFonts w:eastAsia="仿宋"/>
          <w:kern w:val="0"/>
          <w:szCs w:val="32"/>
        </w:rPr>
        <w:t>由广东省市场监督管理局负责解释。</w:t>
      </w:r>
    </w:p>
    <w:p w14:paraId="4ED670AC">
      <w:pPr>
        <w:numPr>
          <w:ilvl w:val="0"/>
          <w:numId w:val="0"/>
        </w:numPr>
        <w:pBdr>
          <w:top w:val="none" w:color="000000" w:sz="0" w:space="0"/>
          <w:left w:val="none" w:color="000000" w:sz="0" w:space="0"/>
          <w:bottom w:val="none" w:color="000000" w:sz="0" w:space="31"/>
          <w:right w:val="none" w:color="000000" w:sz="0" w:space="0"/>
        </w:pBdr>
        <w:autoSpaceDN w:val="0"/>
        <w:ind w:firstLine="643" w:firstLineChars="200"/>
        <w:rPr>
          <w:rFonts w:hint="eastAsia" w:eastAsia="仿宋"/>
          <w:kern w:val="0"/>
          <w:szCs w:val="32"/>
        </w:rPr>
      </w:pPr>
      <w:r>
        <w:rPr>
          <w:rFonts w:eastAsia="仿宋"/>
          <w:b/>
          <w:bCs/>
          <w:kern w:val="0"/>
          <w:szCs w:val="32"/>
        </w:rPr>
        <w:t>第</w:t>
      </w:r>
      <w:r>
        <w:rPr>
          <w:rFonts w:hint="eastAsia" w:eastAsia="仿宋"/>
          <w:b/>
          <w:bCs/>
          <w:kern w:val="0"/>
          <w:szCs w:val="32"/>
          <w:lang w:eastAsia="zh-CN"/>
        </w:rPr>
        <w:t>四</w:t>
      </w:r>
      <w:r>
        <w:rPr>
          <w:rFonts w:hint="eastAsia" w:eastAsia="仿宋"/>
          <w:b/>
          <w:bCs/>
          <w:kern w:val="0"/>
          <w:szCs w:val="32"/>
        </w:rPr>
        <w:t>十</w:t>
      </w:r>
      <w:r>
        <w:rPr>
          <w:rFonts w:eastAsia="仿宋"/>
          <w:b/>
          <w:bCs/>
          <w:kern w:val="0"/>
          <w:szCs w:val="32"/>
        </w:rPr>
        <w:t>条</w:t>
      </w:r>
      <w:r>
        <w:rPr>
          <w:rFonts w:hint="eastAsia" w:eastAsia="仿宋"/>
          <w:b/>
          <w:bCs/>
          <w:kern w:val="0"/>
          <w:szCs w:val="32"/>
        </w:rPr>
        <w:t>（生效日期）</w:t>
      </w:r>
      <w:r>
        <w:rPr>
          <w:rFonts w:eastAsia="仿宋"/>
          <w:b/>
          <w:bCs/>
          <w:kern w:val="0"/>
          <w:szCs w:val="32"/>
        </w:rPr>
        <w:t>　</w:t>
      </w:r>
      <w:r>
        <w:rPr>
          <w:rFonts w:eastAsia="仿宋"/>
          <w:kern w:val="0"/>
          <w:szCs w:val="32"/>
        </w:rPr>
        <w:t>本细则自</w:t>
      </w:r>
      <w:r>
        <w:rPr>
          <w:rFonts w:hint="eastAsia" w:eastAsia="仿宋"/>
          <w:kern w:val="0"/>
          <w:szCs w:val="32"/>
        </w:rPr>
        <w:t xml:space="preserve"> 2024年  月  日起</w:t>
      </w:r>
      <w:r>
        <w:rPr>
          <w:rFonts w:eastAsia="仿宋"/>
          <w:kern w:val="0"/>
          <w:szCs w:val="32"/>
        </w:rPr>
        <w:t>实施，有</w:t>
      </w:r>
      <w:r>
        <w:rPr>
          <w:rFonts w:hint="eastAsia" w:eastAsia="仿宋"/>
          <w:kern w:val="0"/>
          <w:szCs w:val="32"/>
        </w:rPr>
        <w:t>效期5</w:t>
      </w:r>
      <w:r>
        <w:rPr>
          <w:rFonts w:eastAsia="仿宋"/>
          <w:kern w:val="0"/>
          <w:szCs w:val="32"/>
        </w:rPr>
        <w:t>年。</w:t>
      </w:r>
      <w:r>
        <w:rPr>
          <w:rFonts w:hint="eastAsia" w:eastAsia="仿宋"/>
          <w:kern w:val="0"/>
          <w:szCs w:val="32"/>
        </w:rPr>
        <w:t>本细则实施前已取得食品经营许可或备案的，在有效期内继续有效。</w:t>
      </w:r>
      <w:r>
        <w:rPr>
          <w:rFonts w:hint="eastAsia" w:eastAsia="仿宋"/>
          <w:kern w:val="0"/>
          <w:szCs w:val="32"/>
          <w:lang w:eastAsia="zh-CN"/>
        </w:rPr>
        <w:t>许可或备案</w:t>
      </w:r>
      <w:r>
        <w:rPr>
          <w:rFonts w:hint="eastAsia" w:eastAsia="仿宋"/>
          <w:kern w:val="0"/>
          <w:szCs w:val="32"/>
        </w:rPr>
        <w:t>变更、延续、注销</w:t>
      </w:r>
      <w:r>
        <w:rPr>
          <w:rFonts w:hint="eastAsia" w:eastAsia="仿宋"/>
          <w:kern w:val="0"/>
          <w:szCs w:val="32"/>
          <w:lang w:eastAsia="zh-CN"/>
        </w:rPr>
        <w:t>（取消）</w:t>
      </w:r>
      <w:r>
        <w:rPr>
          <w:rFonts w:hint="eastAsia" w:eastAsia="仿宋"/>
          <w:kern w:val="0"/>
          <w:szCs w:val="32"/>
        </w:rPr>
        <w:t>或补证的，按本细则办理。</w:t>
      </w:r>
    </w:p>
    <w:p w14:paraId="53C9E2D6">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lang w:eastAsia="zh-CN"/>
        </w:rPr>
      </w:pPr>
    </w:p>
    <w:p w14:paraId="697D10C8">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lang w:eastAsia="zh-CN"/>
        </w:rPr>
      </w:pPr>
    </w:p>
    <w:p w14:paraId="446A778C">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lang w:eastAsia="zh-CN"/>
        </w:rPr>
        <w:t>以下检查内容的</w:t>
      </w:r>
      <w:r>
        <w:rPr>
          <w:rFonts w:hint="eastAsia" w:ascii="方正楷体_GBK" w:hAnsi="方正楷体_GBK" w:eastAsia="方正楷体_GBK" w:cs="方正楷体_GBK"/>
          <w:bCs/>
          <w:sz w:val="28"/>
          <w:szCs w:val="28"/>
        </w:rPr>
        <w:t>说明：</w:t>
      </w:r>
    </w:p>
    <w:p w14:paraId="448C68BD">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kinsoku/>
        <w:wordWrap/>
        <w:overflowPunct/>
        <w:topLinePunct w:val="0"/>
        <w:autoSpaceDE/>
        <w:autoSpaceDN w:val="0"/>
        <w:bidi w:val="0"/>
        <w:adjustRightInd/>
        <w:snapToGrid/>
        <w:spacing w:line="500" w:lineRule="exact"/>
        <w:ind w:firstLine="560" w:firstLineChars="200"/>
        <w:textAlignment w:val="auto"/>
        <w:rPr>
          <w:rFonts w:hint="eastAsia" w:ascii="方正楷体_GBK" w:hAnsi="方正楷体_GBK" w:eastAsia="方正楷体_GBK" w:cs="方正楷体_GBK"/>
          <w:bCs/>
          <w:sz w:val="28"/>
          <w:szCs w:val="28"/>
        </w:rPr>
      </w:pPr>
      <w:r>
        <w:rPr>
          <w:rFonts w:hint="eastAsia" w:ascii="方正楷体_GBK" w:hAnsi="方正楷体_GBK" w:eastAsia="方正楷体_GBK" w:cs="方正楷体_GBK"/>
          <w:bCs/>
          <w:sz w:val="28"/>
          <w:szCs w:val="28"/>
        </w:rPr>
        <w:t>以下各表</w:t>
      </w:r>
      <w:r>
        <w:rPr>
          <w:rFonts w:hint="eastAsia" w:ascii="方正楷体_GBK" w:hAnsi="方正楷体_GBK" w:eastAsia="方正楷体_GBK" w:cs="方正楷体_GBK"/>
          <w:bCs/>
          <w:sz w:val="28"/>
          <w:szCs w:val="28"/>
          <w:lang w:eastAsia="zh-CN"/>
        </w:rPr>
        <w:t>格</w:t>
      </w:r>
      <w:r>
        <w:rPr>
          <w:rFonts w:hint="eastAsia" w:ascii="方正楷体_GBK" w:hAnsi="方正楷体_GBK" w:eastAsia="方正楷体_GBK" w:cs="方正楷体_GBK"/>
          <w:bCs/>
          <w:sz w:val="28"/>
          <w:szCs w:val="28"/>
        </w:rPr>
        <w:t>主要用于确定各分类</w:t>
      </w:r>
      <w:r>
        <w:rPr>
          <w:rFonts w:hint="eastAsia" w:ascii="方正楷体_GBK" w:hAnsi="方正楷体_GBK" w:eastAsia="方正楷体_GBK" w:cs="方正楷体_GBK"/>
          <w:bCs/>
          <w:sz w:val="28"/>
          <w:szCs w:val="28"/>
          <w:lang w:eastAsia="zh-CN"/>
        </w:rPr>
        <w:t>经营者</w:t>
      </w:r>
      <w:r>
        <w:rPr>
          <w:rFonts w:hint="eastAsia" w:ascii="方正楷体_GBK" w:hAnsi="方正楷体_GBK" w:eastAsia="方正楷体_GBK" w:cs="方正楷体_GBK"/>
          <w:bCs/>
          <w:sz w:val="28"/>
          <w:szCs w:val="28"/>
        </w:rPr>
        <w:t>的核查内容，</w:t>
      </w:r>
      <w:r>
        <w:rPr>
          <w:rFonts w:hint="eastAsia" w:ascii="方正楷体_GBK" w:hAnsi="方正楷体_GBK" w:eastAsia="方正楷体_GBK" w:cs="方正楷体_GBK"/>
          <w:bCs/>
          <w:sz w:val="28"/>
          <w:szCs w:val="28"/>
          <w:lang w:eastAsia="zh-CN"/>
        </w:rPr>
        <w:t>具体</w:t>
      </w:r>
      <w:r>
        <w:rPr>
          <w:rFonts w:hint="eastAsia" w:ascii="方正楷体_GBK" w:hAnsi="方正楷体_GBK" w:eastAsia="方正楷体_GBK" w:cs="方正楷体_GBK"/>
          <w:bCs/>
          <w:sz w:val="28"/>
          <w:szCs w:val="28"/>
        </w:rPr>
        <w:t>核查表</w:t>
      </w:r>
      <w:r>
        <w:rPr>
          <w:rFonts w:hint="eastAsia" w:ascii="方正楷体_GBK" w:hAnsi="方正楷体_GBK" w:eastAsia="方正楷体_GBK" w:cs="方正楷体_GBK"/>
          <w:bCs/>
          <w:sz w:val="28"/>
          <w:szCs w:val="28"/>
          <w:lang w:eastAsia="zh-CN"/>
        </w:rPr>
        <w:t>可</w:t>
      </w:r>
      <w:r>
        <w:rPr>
          <w:rFonts w:hint="eastAsia" w:ascii="方正楷体_GBK" w:hAnsi="方正楷体_GBK" w:eastAsia="方正楷体_GBK" w:cs="方正楷体_GBK"/>
          <w:bCs/>
          <w:sz w:val="28"/>
          <w:szCs w:val="28"/>
        </w:rPr>
        <w:t>由许可系统根据申请人</w:t>
      </w:r>
      <w:r>
        <w:rPr>
          <w:rFonts w:hint="eastAsia" w:ascii="方正楷体_GBK" w:hAnsi="方正楷体_GBK" w:eastAsia="方正楷体_GBK" w:cs="方正楷体_GBK"/>
          <w:bCs/>
          <w:sz w:val="28"/>
          <w:szCs w:val="28"/>
          <w:lang w:eastAsia="zh-CN"/>
        </w:rPr>
        <w:t>申</w:t>
      </w:r>
      <w:r>
        <w:rPr>
          <w:rFonts w:hint="eastAsia" w:ascii="方正楷体_GBK" w:hAnsi="方正楷体_GBK" w:eastAsia="方正楷体_GBK" w:cs="方正楷体_GBK"/>
          <w:bCs/>
          <w:sz w:val="28"/>
          <w:szCs w:val="28"/>
        </w:rPr>
        <w:t>报的名称、地址、经营业态和经营项目等自动生成。</w:t>
      </w:r>
      <w:r>
        <w:rPr>
          <w:rFonts w:hint="eastAsia" w:ascii="方正楷体_GBK" w:hAnsi="方正楷体_GBK" w:eastAsia="方正楷体_GBK" w:cs="方正楷体_GBK"/>
          <w:bCs/>
          <w:sz w:val="28"/>
          <w:szCs w:val="28"/>
          <w:lang w:eastAsia="zh-CN"/>
        </w:rPr>
        <w:t>核查时发现申请经营项目需要调整的，可予调整，并生成相应的检查表格。</w:t>
      </w:r>
      <w:r>
        <w:rPr>
          <w:rFonts w:hint="eastAsia" w:ascii="方正楷体_GBK" w:hAnsi="方正楷体_GBK" w:eastAsia="方正楷体_GBK" w:cs="方正楷体_GBK"/>
          <w:bCs/>
          <w:sz w:val="28"/>
          <w:szCs w:val="28"/>
        </w:rPr>
        <w:t>核查内容主要根据总局通则进行梳理，部分内容根据本省实际制定。现场核查内容</w:t>
      </w:r>
      <w:r>
        <w:rPr>
          <w:rFonts w:hint="eastAsia" w:ascii="方正楷体_GBK" w:hAnsi="方正楷体_GBK" w:eastAsia="方正楷体_GBK" w:cs="方正楷体_GBK"/>
          <w:bCs/>
          <w:sz w:val="28"/>
          <w:szCs w:val="28"/>
          <w:lang w:eastAsia="zh-CN"/>
        </w:rPr>
        <w:t>中可</w:t>
      </w:r>
      <w:r>
        <w:rPr>
          <w:rFonts w:hint="eastAsia" w:ascii="方正楷体_GBK" w:hAnsi="方正楷体_GBK" w:eastAsia="方正楷体_GBK" w:cs="方正楷体_GBK"/>
          <w:bCs/>
          <w:sz w:val="28"/>
          <w:szCs w:val="28"/>
        </w:rPr>
        <w:t>存在合理缺项。</w:t>
      </w:r>
    </w:p>
    <w:p w14:paraId="7F70AF39">
      <w:pPr>
        <w:pStyle w:val="2"/>
        <w:rPr>
          <w:rFonts w:hint="eastAsia" w:ascii="方正楷体_GBK" w:hAnsi="方正楷体_GBK" w:eastAsia="方正楷体_GBK" w:cs="方正楷体_GBK"/>
          <w:bCs/>
          <w:sz w:val="28"/>
          <w:szCs w:val="28"/>
        </w:rPr>
      </w:pPr>
    </w:p>
    <w:p w14:paraId="1D599EE1">
      <w:pPr>
        <w:rPr>
          <w:rFonts w:hint="eastAsia" w:ascii="方正楷体_GBK" w:hAnsi="方正楷体_GBK" w:eastAsia="方正楷体_GBK" w:cs="方正楷体_GBK"/>
          <w:bCs/>
          <w:sz w:val="28"/>
          <w:szCs w:val="28"/>
        </w:rPr>
      </w:pPr>
    </w:p>
    <w:p w14:paraId="15A8B7C9">
      <w:pPr>
        <w:pStyle w:val="2"/>
        <w:rPr>
          <w:rFonts w:hint="eastAsia" w:ascii="方正楷体_GBK" w:hAnsi="方正楷体_GBK" w:eastAsia="方正楷体_GBK" w:cs="方正楷体_GBK"/>
          <w:bCs/>
          <w:sz w:val="28"/>
          <w:szCs w:val="28"/>
        </w:rPr>
      </w:pPr>
    </w:p>
    <w:p w14:paraId="41CB95E5">
      <w:pPr>
        <w:rPr>
          <w:rFonts w:hint="eastAsia" w:ascii="方正楷体_GBK" w:hAnsi="方正楷体_GBK" w:eastAsia="方正楷体_GBK" w:cs="方正楷体_GBK"/>
          <w:bCs/>
          <w:sz w:val="28"/>
          <w:szCs w:val="28"/>
        </w:rPr>
      </w:pPr>
    </w:p>
    <w:p w14:paraId="10EF19DD">
      <w:pPr>
        <w:pStyle w:val="2"/>
        <w:rPr>
          <w:rFonts w:hint="eastAsia"/>
        </w:rPr>
      </w:pPr>
    </w:p>
    <w:p w14:paraId="552995EB">
      <w:pPr>
        <w:tabs>
          <w:tab w:val="left" w:pos="3420"/>
          <w:tab w:val="left" w:pos="10620"/>
        </w:tabs>
        <w:adjustRightInd w:val="0"/>
        <w:spacing w:line="580" w:lineRule="exact"/>
        <w:jc w:val="center"/>
        <w:textAlignment w:val="baseline"/>
        <w:rPr>
          <w:rFonts w:hint="eastAsia" w:ascii="方正小标宋简体" w:hAnsi="华文中宋" w:eastAsia="方正小标宋简体"/>
          <w:color w:val="auto"/>
          <w:szCs w:val="32"/>
          <w:lang w:eastAsia="zh-CN"/>
        </w:rPr>
      </w:pPr>
      <w:r>
        <w:rPr>
          <w:rFonts w:hint="eastAsia" w:ascii="方正小标宋简体" w:hAnsi="华文中宋" w:eastAsia="方正小标宋简体"/>
          <w:color w:val="auto"/>
          <w:szCs w:val="32"/>
        </w:rPr>
        <w:t>第一类</w:t>
      </w:r>
      <w:r>
        <w:rPr>
          <w:rFonts w:ascii="方正小标宋简体" w:hAnsi="华文中宋" w:eastAsia="方正小标宋简体"/>
          <w:color w:val="auto"/>
          <w:szCs w:val="32"/>
        </w:rPr>
        <w:t xml:space="preserve"> </w:t>
      </w:r>
      <w:r>
        <w:rPr>
          <w:rFonts w:hint="eastAsia" w:ascii="方正小标宋简体" w:hAnsi="华文中宋" w:eastAsia="方正小标宋简体"/>
          <w:color w:val="auto"/>
          <w:szCs w:val="32"/>
        </w:rPr>
        <w:t>食品经营许可现场核查</w:t>
      </w:r>
      <w:r>
        <w:rPr>
          <w:rFonts w:hint="eastAsia" w:ascii="方正小标宋简体" w:hAnsi="华文中宋" w:eastAsia="方正小标宋简体"/>
          <w:color w:val="auto"/>
          <w:szCs w:val="32"/>
          <w:lang w:eastAsia="zh-CN"/>
        </w:rPr>
        <w:t>内容</w:t>
      </w:r>
    </w:p>
    <w:p w14:paraId="73D5924E">
      <w:pPr>
        <w:tabs>
          <w:tab w:val="left" w:pos="3420"/>
          <w:tab w:val="left" w:pos="10620"/>
        </w:tabs>
        <w:adjustRightInd w:val="0"/>
        <w:spacing w:line="580" w:lineRule="exact"/>
        <w:jc w:val="center"/>
        <w:textAlignment w:val="baseline"/>
        <w:rPr>
          <w:rFonts w:ascii="楷体" w:hAnsi="楷体" w:eastAsia="楷体"/>
          <w:b/>
          <w:color w:val="auto"/>
          <w:szCs w:val="32"/>
        </w:rPr>
      </w:pPr>
      <w:r>
        <w:rPr>
          <w:rFonts w:hint="eastAsia" w:ascii="楷体" w:hAnsi="楷体" w:eastAsia="楷体"/>
          <w:color w:val="auto"/>
          <w:szCs w:val="32"/>
        </w:rPr>
        <w:t>（适用于食品销售经营者）</w:t>
      </w:r>
    </w:p>
    <w:p w14:paraId="7DBCA6ED">
      <w:pPr>
        <w:snapToGrid w:val="0"/>
        <w:spacing w:line="300" w:lineRule="exact"/>
        <w:rPr>
          <w:rFonts w:hint="eastAsia" w:ascii="仿宋_GB2312" w:hAnsi="仿宋_GB2312" w:cs="仿宋_GB2312"/>
          <w:color w:val="auto"/>
          <w:sz w:val="24"/>
        </w:rPr>
      </w:pPr>
    </w:p>
    <w:p w14:paraId="61CCB95C">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经营者名称：                                   地    址：                                  </w:t>
      </w:r>
    </w:p>
    <w:p w14:paraId="093F7BB5">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申请经营业态:                                  申请经营项目：                             </w:t>
      </w:r>
    </w:p>
    <w:tbl>
      <w:tblPr>
        <w:tblStyle w:val="5"/>
        <w:tblpPr w:leftFromText="180" w:rightFromText="180" w:vertAnchor="text" w:horzAnchor="margin" w:tblpXSpec="center" w:tblpY="225"/>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795"/>
        <w:gridCol w:w="5516"/>
        <w:gridCol w:w="585"/>
        <w:gridCol w:w="703"/>
        <w:gridCol w:w="780"/>
        <w:gridCol w:w="765"/>
      </w:tblGrid>
      <w:tr w14:paraId="1B68DB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272" w:type="dxa"/>
            <w:gridSpan w:val="2"/>
            <w:vMerge w:val="restart"/>
            <w:noWrap w:val="0"/>
            <w:vAlign w:val="center"/>
          </w:tcPr>
          <w:p w14:paraId="0E1EF925">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核查内容</w:t>
            </w:r>
          </w:p>
        </w:tc>
        <w:tc>
          <w:tcPr>
            <w:tcW w:w="5516" w:type="dxa"/>
            <w:vMerge w:val="restart"/>
            <w:noWrap w:val="0"/>
            <w:vAlign w:val="center"/>
          </w:tcPr>
          <w:p w14:paraId="0AD927AB">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核查和评价方法</w:t>
            </w:r>
          </w:p>
        </w:tc>
        <w:tc>
          <w:tcPr>
            <w:tcW w:w="585" w:type="dxa"/>
            <w:vMerge w:val="restart"/>
            <w:noWrap w:val="0"/>
            <w:vAlign w:val="center"/>
          </w:tcPr>
          <w:p w14:paraId="26A19E05">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lang w:eastAsia="zh-CN"/>
              </w:rPr>
              <w:t>序</w:t>
            </w:r>
            <w:r>
              <w:rPr>
                <w:rFonts w:hint="eastAsia" w:ascii="宋体" w:hAnsi="宋体" w:eastAsia="宋体" w:cs="宋体"/>
                <w:b/>
                <w:color w:val="auto"/>
                <w:sz w:val="24"/>
              </w:rPr>
              <w:t>号</w:t>
            </w:r>
          </w:p>
        </w:tc>
        <w:tc>
          <w:tcPr>
            <w:tcW w:w="2248" w:type="dxa"/>
            <w:gridSpan w:val="3"/>
            <w:noWrap w:val="0"/>
            <w:vAlign w:val="center"/>
          </w:tcPr>
          <w:p w14:paraId="4AB5F066">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结果判定</w:t>
            </w:r>
          </w:p>
        </w:tc>
      </w:tr>
      <w:tr w14:paraId="1517BD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1272" w:type="dxa"/>
            <w:gridSpan w:val="2"/>
            <w:vMerge w:val="continue"/>
            <w:noWrap w:val="0"/>
            <w:vAlign w:val="center"/>
          </w:tcPr>
          <w:p w14:paraId="2308B6E2">
            <w:pPr>
              <w:spacing w:line="340" w:lineRule="exact"/>
              <w:rPr>
                <w:rFonts w:hint="eastAsia" w:ascii="宋体" w:hAnsi="宋体" w:eastAsia="宋体" w:cs="宋体"/>
                <w:b/>
                <w:color w:val="auto"/>
                <w:sz w:val="24"/>
              </w:rPr>
            </w:pPr>
          </w:p>
        </w:tc>
        <w:tc>
          <w:tcPr>
            <w:tcW w:w="5516" w:type="dxa"/>
            <w:vMerge w:val="continue"/>
            <w:noWrap w:val="0"/>
            <w:vAlign w:val="center"/>
          </w:tcPr>
          <w:p w14:paraId="0940BD4E">
            <w:pPr>
              <w:spacing w:line="340" w:lineRule="exact"/>
              <w:rPr>
                <w:rFonts w:hint="eastAsia" w:ascii="宋体" w:hAnsi="宋体" w:eastAsia="宋体" w:cs="宋体"/>
                <w:b/>
                <w:color w:val="auto"/>
                <w:sz w:val="24"/>
              </w:rPr>
            </w:pPr>
          </w:p>
        </w:tc>
        <w:tc>
          <w:tcPr>
            <w:tcW w:w="585" w:type="dxa"/>
            <w:vMerge w:val="continue"/>
            <w:noWrap w:val="0"/>
            <w:vAlign w:val="center"/>
          </w:tcPr>
          <w:p w14:paraId="2A7B65A4">
            <w:pPr>
              <w:spacing w:line="340" w:lineRule="exact"/>
              <w:jc w:val="center"/>
              <w:rPr>
                <w:rFonts w:hint="eastAsia" w:ascii="宋体" w:hAnsi="宋体" w:eastAsia="宋体" w:cs="宋体"/>
                <w:b/>
                <w:color w:val="auto"/>
                <w:sz w:val="24"/>
              </w:rPr>
            </w:pPr>
          </w:p>
        </w:tc>
        <w:tc>
          <w:tcPr>
            <w:tcW w:w="703" w:type="dxa"/>
            <w:noWrap w:val="0"/>
            <w:vAlign w:val="center"/>
          </w:tcPr>
          <w:p w14:paraId="3AACE1EE">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符合</w:t>
            </w:r>
          </w:p>
        </w:tc>
        <w:tc>
          <w:tcPr>
            <w:tcW w:w="780" w:type="dxa"/>
            <w:noWrap w:val="0"/>
            <w:vAlign w:val="center"/>
          </w:tcPr>
          <w:p w14:paraId="48A903E5">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不符合</w:t>
            </w:r>
          </w:p>
        </w:tc>
        <w:tc>
          <w:tcPr>
            <w:tcW w:w="765" w:type="dxa"/>
            <w:noWrap w:val="0"/>
            <w:vAlign w:val="center"/>
          </w:tcPr>
          <w:p w14:paraId="3063749D">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合理</w:t>
            </w:r>
          </w:p>
          <w:p w14:paraId="5F9F3525">
            <w:pPr>
              <w:spacing w:line="340" w:lineRule="exact"/>
              <w:jc w:val="center"/>
              <w:rPr>
                <w:rFonts w:hint="eastAsia" w:ascii="宋体" w:hAnsi="宋体" w:eastAsia="宋体" w:cs="宋体"/>
                <w:b/>
                <w:color w:val="auto"/>
                <w:sz w:val="24"/>
              </w:rPr>
            </w:pPr>
            <w:r>
              <w:rPr>
                <w:rFonts w:hint="eastAsia" w:ascii="宋体" w:hAnsi="宋体" w:eastAsia="宋体" w:cs="宋体"/>
                <w:b/>
                <w:color w:val="auto"/>
                <w:sz w:val="24"/>
              </w:rPr>
              <w:t>缺项</w:t>
            </w:r>
          </w:p>
        </w:tc>
      </w:tr>
      <w:tr w14:paraId="0A6F91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272" w:type="dxa"/>
            <w:gridSpan w:val="2"/>
            <w:vMerge w:val="restart"/>
            <w:noWrap w:val="0"/>
            <w:vAlign w:val="center"/>
          </w:tcPr>
          <w:p w14:paraId="7BBB8006">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通用要求</w:t>
            </w:r>
          </w:p>
        </w:tc>
        <w:tc>
          <w:tcPr>
            <w:tcW w:w="5516" w:type="dxa"/>
            <w:noWrap w:val="0"/>
            <w:vAlign w:val="center"/>
          </w:tcPr>
          <w:p w14:paraId="44D2DB5A">
            <w:pPr>
              <w:snapToGrid w:val="0"/>
              <w:spacing w:line="400" w:lineRule="exact"/>
              <w:rPr>
                <w:rFonts w:hint="eastAsia"/>
              </w:rPr>
            </w:pPr>
            <w:r>
              <w:rPr>
                <w:rFonts w:hint="eastAsia" w:ascii="仿宋_GB2312" w:hAnsi="仿宋_GB2312" w:eastAsia="仿宋_GB2312" w:cs="仿宋_GB2312"/>
                <w:color w:val="auto"/>
                <w:sz w:val="24"/>
              </w:rPr>
              <w:t>食品销售场所和贮存场所与生活区分隔。食品销售场所和贮存场所环境整洁，有良好的通风、排气、采光、照明条件，避免日光直接照射。</w:t>
            </w:r>
          </w:p>
        </w:tc>
        <w:tc>
          <w:tcPr>
            <w:tcW w:w="585" w:type="dxa"/>
            <w:noWrap w:val="0"/>
            <w:vAlign w:val="center"/>
          </w:tcPr>
          <w:p w14:paraId="23C9469A">
            <w:pPr>
              <w:numPr>
                <w:ilvl w:val="0"/>
                <w:numId w:val="0"/>
              </w:numPr>
              <w:snapToGrid w:val="0"/>
              <w:spacing w:line="400" w:lineRule="exact"/>
              <w:ind w:leftChars="0"/>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1</w:t>
            </w:r>
          </w:p>
        </w:tc>
        <w:tc>
          <w:tcPr>
            <w:tcW w:w="703" w:type="dxa"/>
            <w:noWrap w:val="0"/>
            <w:vAlign w:val="center"/>
          </w:tcPr>
          <w:p w14:paraId="09703EEF">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6F965ED8">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795CD128">
            <w:pPr>
              <w:snapToGrid w:val="0"/>
              <w:spacing w:line="400" w:lineRule="exact"/>
              <w:rPr>
                <w:rFonts w:hint="eastAsia" w:ascii="仿宋_GB2312" w:hAnsi="仿宋_GB2312" w:eastAsia="仿宋_GB2312" w:cs="仿宋_GB2312"/>
                <w:color w:val="auto"/>
                <w:sz w:val="24"/>
              </w:rPr>
            </w:pPr>
          </w:p>
        </w:tc>
      </w:tr>
      <w:tr w14:paraId="28BD20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72" w:type="dxa"/>
            <w:gridSpan w:val="2"/>
            <w:vMerge w:val="continue"/>
            <w:noWrap w:val="0"/>
            <w:vAlign w:val="center"/>
          </w:tcPr>
          <w:p w14:paraId="6137FB7C">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2B675A29">
            <w:pPr>
              <w:snapToGrid w:val="0"/>
              <w:spacing w:line="400" w:lineRule="exact"/>
              <w:rPr>
                <w:rFonts w:hint="eastAsia" w:ascii="仿宋_GB2312" w:hAnsi="仿宋_GB2312" w:eastAsia="仿宋_GB2312" w:cs="仿宋_GB2312"/>
                <w:color w:val="auto"/>
                <w:sz w:val="24"/>
                <w:lang w:val="zh-CN"/>
              </w:rPr>
            </w:pPr>
            <w:r>
              <w:rPr>
                <w:rFonts w:hint="eastAsia" w:ascii="仿宋_GB2312" w:hAnsi="仿宋_GB2312" w:eastAsia="仿宋_GB2312" w:cs="仿宋_GB2312"/>
                <w:color w:val="auto"/>
                <w:sz w:val="24"/>
              </w:rPr>
              <w:t>散装食品区域相对独立或有隔离措施。</w:t>
            </w:r>
          </w:p>
        </w:tc>
        <w:tc>
          <w:tcPr>
            <w:tcW w:w="585" w:type="dxa"/>
            <w:noWrap w:val="0"/>
            <w:vAlign w:val="center"/>
          </w:tcPr>
          <w:p w14:paraId="60B0AF4D">
            <w:pPr>
              <w:numPr>
                <w:ilvl w:val="0"/>
                <w:numId w:val="0"/>
              </w:numPr>
              <w:snapToGrid w:val="0"/>
              <w:spacing w:line="400" w:lineRule="exact"/>
              <w:ind w:leftChars="0"/>
              <w:jc w:val="center"/>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lang w:val="en-US" w:eastAsia="zh-CN"/>
              </w:rPr>
              <w:t>2</w:t>
            </w:r>
          </w:p>
        </w:tc>
        <w:tc>
          <w:tcPr>
            <w:tcW w:w="703" w:type="dxa"/>
            <w:noWrap w:val="0"/>
            <w:vAlign w:val="center"/>
          </w:tcPr>
          <w:p w14:paraId="055294AC">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0130FA52">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39F7454B">
            <w:pPr>
              <w:snapToGrid w:val="0"/>
              <w:spacing w:line="400" w:lineRule="exact"/>
              <w:rPr>
                <w:rFonts w:hint="eastAsia" w:ascii="仿宋_GB2312" w:hAnsi="仿宋_GB2312" w:eastAsia="仿宋_GB2312" w:cs="仿宋_GB2312"/>
                <w:color w:val="auto"/>
                <w:sz w:val="24"/>
              </w:rPr>
            </w:pPr>
          </w:p>
        </w:tc>
      </w:tr>
      <w:tr w14:paraId="3215DD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272" w:type="dxa"/>
            <w:gridSpan w:val="2"/>
            <w:vMerge w:val="continue"/>
            <w:noWrap w:val="0"/>
            <w:vAlign w:val="center"/>
          </w:tcPr>
          <w:p w14:paraId="5590A8AA">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579F3FEB">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zh-CN"/>
              </w:rPr>
              <w:t>销售有温度控制要求的食品，配备与经营品种、数量相适应的冷藏、冷冻设备，设备</w:t>
            </w:r>
            <w:r>
              <w:rPr>
                <w:rFonts w:hint="eastAsia" w:ascii="仿宋_GB2312" w:hAnsi="仿宋_GB2312" w:eastAsia="仿宋_GB2312" w:cs="仿宋_GB2312"/>
                <w:color w:val="auto"/>
                <w:sz w:val="24"/>
              </w:rPr>
              <w:t>有温度控制和监测装置，建立定期校准制度</w:t>
            </w:r>
            <w:r>
              <w:rPr>
                <w:rFonts w:hint="eastAsia" w:ascii="仿宋_GB2312" w:hAnsi="仿宋_GB2312" w:eastAsia="仿宋_GB2312" w:cs="仿宋_GB2312"/>
                <w:color w:val="auto"/>
                <w:sz w:val="24"/>
                <w:lang w:val="zh-CN"/>
              </w:rPr>
              <w:t>。</w:t>
            </w:r>
          </w:p>
        </w:tc>
        <w:tc>
          <w:tcPr>
            <w:tcW w:w="585" w:type="dxa"/>
            <w:noWrap w:val="0"/>
            <w:vAlign w:val="center"/>
          </w:tcPr>
          <w:p w14:paraId="7405538F">
            <w:pPr>
              <w:numPr>
                <w:ilvl w:val="0"/>
                <w:numId w:val="0"/>
              </w:numPr>
              <w:snapToGrid w:val="0"/>
              <w:spacing w:line="400" w:lineRule="exact"/>
              <w:ind w:leftChars="0"/>
              <w:jc w:val="center"/>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lang w:val="en-US" w:eastAsia="zh-CN"/>
              </w:rPr>
              <w:t>3</w:t>
            </w:r>
          </w:p>
        </w:tc>
        <w:tc>
          <w:tcPr>
            <w:tcW w:w="703" w:type="dxa"/>
            <w:noWrap w:val="0"/>
            <w:vAlign w:val="center"/>
          </w:tcPr>
          <w:p w14:paraId="05593322">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0C43865D">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4AED84A2">
            <w:pPr>
              <w:snapToGrid w:val="0"/>
              <w:spacing w:line="400" w:lineRule="exact"/>
              <w:rPr>
                <w:rFonts w:hint="eastAsia" w:ascii="仿宋_GB2312" w:hAnsi="仿宋_GB2312" w:eastAsia="仿宋_GB2312" w:cs="仿宋_GB2312"/>
                <w:color w:val="auto"/>
                <w:sz w:val="24"/>
              </w:rPr>
            </w:pPr>
          </w:p>
        </w:tc>
      </w:tr>
      <w:tr w14:paraId="503A54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1272" w:type="dxa"/>
            <w:gridSpan w:val="2"/>
            <w:vMerge w:val="continue"/>
            <w:noWrap w:val="0"/>
            <w:vAlign w:val="center"/>
          </w:tcPr>
          <w:p w14:paraId="28A7F825">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44D5C399">
            <w:pPr>
              <w:snapToGrid w:val="0"/>
              <w:spacing w:line="400" w:lineRule="exact"/>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color w:val="auto"/>
                <w:kern w:val="2"/>
                <w:sz w:val="24"/>
                <w:szCs w:val="24"/>
                <w:lang w:val="zh-CN" w:eastAsia="zh-CN" w:bidi="ar-SA"/>
              </w:rPr>
              <w:t>食品贮存应设专门区域，有明显的区分标识，与有毒有害物品分库或分区存放，食品贮存时能与墙壁、地面保持适当距离。</w:t>
            </w:r>
          </w:p>
        </w:tc>
        <w:tc>
          <w:tcPr>
            <w:tcW w:w="585" w:type="dxa"/>
            <w:noWrap w:val="0"/>
            <w:vAlign w:val="center"/>
          </w:tcPr>
          <w:p w14:paraId="269333F1">
            <w:pPr>
              <w:snapToGrid w:val="0"/>
              <w:spacing w:line="4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cs="仿宋_GB2312"/>
                <w:color w:val="auto"/>
                <w:kern w:val="2"/>
                <w:sz w:val="24"/>
                <w:szCs w:val="24"/>
                <w:lang w:val="en-US" w:eastAsia="zh-CN" w:bidi="ar-SA"/>
              </w:rPr>
              <w:t>4</w:t>
            </w:r>
          </w:p>
        </w:tc>
        <w:tc>
          <w:tcPr>
            <w:tcW w:w="703" w:type="dxa"/>
            <w:noWrap w:val="0"/>
            <w:vAlign w:val="center"/>
          </w:tcPr>
          <w:p w14:paraId="658D4C92">
            <w:pPr>
              <w:snapToGrid w:val="0"/>
              <w:spacing w:line="400" w:lineRule="exact"/>
              <w:rPr>
                <w:rFonts w:hint="eastAsia" w:ascii="仿宋_GB2312" w:hAnsi="仿宋_GB2312" w:eastAsia="仿宋_GB2312" w:cs="仿宋_GB2312"/>
                <w:color w:val="auto"/>
                <w:kern w:val="2"/>
                <w:sz w:val="24"/>
                <w:szCs w:val="24"/>
                <w:lang w:val="zh-CN" w:eastAsia="zh-CN" w:bidi="ar-SA"/>
              </w:rPr>
            </w:pPr>
          </w:p>
        </w:tc>
        <w:tc>
          <w:tcPr>
            <w:tcW w:w="780" w:type="dxa"/>
            <w:noWrap w:val="0"/>
            <w:vAlign w:val="center"/>
          </w:tcPr>
          <w:p w14:paraId="48EA1FBA">
            <w:pPr>
              <w:snapToGrid w:val="0"/>
              <w:spacing w:line="400" w:lineRule="exact"/>
              <w:rPr>
                <w:rFonts w:hint="eastAsia" w:ascii="仿宋_GB2312" w:hAnsi="仿宋_GB2312" w:eastAsia="仿宋_GB2312" w:cs="仿宋_GB2312"/>
                <w:color w:val="auto"/>
                <w:kern w:val="2"/>
                <w:sz w:val="24"/>
                <w:szCs w:val="24"/>
                <w:lang w:val="zh-CN" w:eastAsia="zh-CN" w:bidi="ar-SA"/>
              </w:rPr>
            </w:pPr>
          </w:p>
        </w:tc>
        <w:tc>
          <w:tcPr>
            <w:tcW w:w="765" w:type="dxa"/>
            <w:noWrap w:val="0"/>
            <w:vAlign w:val="center"/>
          </w:tcPr>
          <w:p w14:paraId="769F5739">
            <w:pPr>
              <w:snapToGrid w:val="0"/>
              <w:spacing w:line="400" w:lineRule="exact"/>
              <w:rPr>
                <w:rFonts w:hint="eastAsia" w:ascii="仿宋_GB2312" w:hAnsi="仿宋_GB2312" w:eastAsia="仿宋_GB2312" w:cs="仿宋_GB2312"/>
                <w:color w:val="auto"/>
                <w:kern w:val="2"/>
                <w:sz w:val="24"/>
                <w:szCs w:val="24"/>
                <w:lang w:val="zh-CN" w:eastAsia="zh-CN" w:bidi="ar-SA"/>
              </w:rPr>
            </w:pPr>
          </w:p>
        </w:tc>
      </w:tr>
      <w:tr w14:paraId="26EDFE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72" w:type="dxa"/>
            <w:gridSpan w:val="2"/>
            <w:vMerge w:val="continue"/>
            <w:noWrap w:val="0"/>
            <w:vAlign w:val="center"/>
          </w:tcPr>
          <w:p w14:paraId="112F3F19">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398016C1">
            <w:pPr>
              <w:snapToGrid w:val="0"/>
              <w:spacing w:line="400" w:lineRule="exact"/>
              <w:rPr>
                <w:rFonts w:hint="eastAsia" w:ascii="仿宋_GB2312" w:hAnsi="仿宋_GB2312" w:eastAsia="仿宋_GB2312" w:cs="仿宋_GB2312"/>
                <w:color w:val="auto"/>
                <w:kern w:val="2"/>
                <w:sz w:val="24"/>
                <w:szCs w:val="24"/>
                <w:lang w:val="zh-CN" w:eastAsia="zh-CN" w:bidi="ar-SA"/>
              </w:rPr>
            </w:pPr>
            <w:r>
              <w:rPr>
                <w:rFonts w:hint="eastAsia" w:ascii="仿宋_GB2312" w:hAnsi="仿宋_GB2312" w:eastAsia="仿宋_GB2312" w:cs="仿宋_GB2312"/>
                <w:color w:val="auto"/>
                <w:kern w:val="2"/>
                <w:sz w:val="24"/>
                <w:szCs w:val="24"/>
                <w:lang w:val="zh-CN" w:eastAsia="zh-CN" w:bidi="ar-SA"/>
              </w:rPr>
              <w:t>经营者有食品安全自查、食品安全追溯、从业人员健康管理制度。</w:t>
            </w:r>
          </w:p>
        </w:tc>
        <w:tc>
          <w:tcPr>
            <w:tcW w:w="585" w:type="dxa"/>
            <w:noWrap w:val="0"/>
            <w:vAlign w:val="center"/>
          </w:tcPr>
          <w:p w14:paraId="547EA0C6">
            <w:pPr>
              <w:numPr>
                <w:ilvl w:val="0"/>
                <w:numId w:val="0"/>
              </w:numPr>
              <w:snapToGrid w:val="0"/>
              <w:spacing w:line="400" w:lineRule="exact"/>
              <w:ind w:leftChars="0"/>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5</w:t>
            </w:r>
          </w:p>
        </w:tc>
        <w:tc>
          <w:tcPr>
            <w:tcW w:w="703" w:type="dxa"/>
            <w:noWrap w:val="0"/>
            <w:vAlign w:val="center"/>
          </w:tcPr>
          <w:p w14:paraId="42C55BFA">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45E7DAF2">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67C3F1E4">
            <w:pPr>
              <w:snapToGrid w:val="0"/>
              <w:spacing w:line="400" w:lineRule="exact"/>
              <w:rPr>
                <w:rFonts w:hint="eastAsia" w:ascii="仿宋_GB2312" w:hAnsi="仿宋_GB2312" w:eastAsia="仿宋_GB2312" w:cs="仿宋_GB2312"/>
                <w:color w:val="auto"/>
                <w:sz w:val="24"/>
              </w:rPr>
            </w:pPr>
          </w:p>
        </w:tc>
      </w:tr>
      <w:tr w14:paraId="4BBD7B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8" w:hRule="atLeast"/>
        </w:trPr>
        <w:tc>
          <w:tcPr>
            <w:tcW w:w="1272" w:type="dxa"/>
            <w:gridSpan w:val="2"/>
            <w:vMerge w:val="continue"/>
            <w:noWrap w:val="0"/>
            <w:vAlign w:val="center"/>
          </w:tcPr>
          <w:p w14:paraId="6E333D90">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4D88CDFD">
            <w:pPr>
              <w:snapToGrid w:val="0"/>
              <w:spacing w:line="400" w:lineRule="exact"/>
              <w:rPr>
                <w:rFonts w:hint="eastAsia"/>
                <w:lang w:val="zh-CN" w:eastAsia="zh-CN"/>
              </w:rPr>
            </w:pPr>
            <w:r>
              <w:rPr>
                <w:rFonts w:hint="eastAsia" w:ascii="仿宋_GB2312" w:hAnsi="仿宋_GB2312" w:eastAsia="仿宋_GB2312" w:cs="仿宋_GB2312"/>
                <w:color w:val="auto"/>
                <w:kern w:val="2"/>
                <w:sz w:val="24"/>
                <w:szCs w:val="24"/>
                <w:lang w:val="zh-CN" w:eastAsia="zh-CN" w:bidi="ar-SA"/>
              </w:rPr>
              <w:t>经营者为企业的，还应有食品安全风险管控清单，有日管控、周排查、月调度制度，人员培训和考核制度，进货查验记录制度，场所及设施清洗清毒和维修保养制度，食品贮存管理制度，废弃物处置制度，不合格食品处置制度，食品安全事故处置方案以及食品经营过程控制制度等制度</w:t>
            </w:r>
            <w:r>
              <w:rPr>
                <w:rFonts w:hint="eastAsia" w:ascii="仿宋_GB2312" w:hAnsi="仿宋_GB2312" w:cs="仿宋_GB2312"/>
                <w:color w:val="auto"/>
                <w:kern w:val="2"/>
                <w:sz w:val="24"/>
                <w:szCs w:val="24"/>
                <w:lang w:val="zh-CN" w:eastAsia="zh-CN" w:bidi="ar-SA"/>
              </w:rPr>
              <w:t>。</w:t>
            </w:r>
          </w:p>
        </w:tc>
        <w:tc>
          <w:tcPr>
            <w:tcW w:w="585" w:type="dxa"/>
            <w:noWrap w:val="0"/>
            <w:vAlign w:val="center"/>
          </w:tcPr>
          <w:p w14:paraId="3B2D4973">
            <w:pPr>
              <w:numPr>
                <w:ilvl w:val="0"/>
                <w:numId w:val="0"/>
              </w:numPr>
              <w:snapToGrid w:val="0"/>
              <w:spacing w:line="400" w:lineRule="exact"/>
              <w:ind w:leftChars="0"/>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6</w:t>
            </w:r>
          </w:p>
        </w:tc>
        <w:tc>
          <w:tcPr>
            <w:tcW w:w="703" w:type="dxa"/>
            <w:noWrap w:val="0"/>
            <w:vAlign w:val="center"/>
          </w:tcPr>
          <w:p w14:paraId="47973773">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44C483D3">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322AF038">
            <w:pPr>
              <w:snapToGrid w:val="0"/>
              <w:spacing w:line="400" w:lineRule="exact"/>
              <w:rPr>
                <w:rFonts w:hint="eastAsia" w:ascii="仿宋_GB2312" w:hAnsi="仿宋_GB2312" w:eastAsia="仿宋_GB2312" w:cs="仿宋_GB2312"/>
                <w:color w:val="auto"/>
                <w:sz w:val="24"/>
              </w:rPr>
            </w:pPr>
          </w:p>
        </w:tc>
      </w:tr>
      <w:tr w14:paraId="597628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72" w:type="dxa"/>
            <w:gridSpan w:val="2"/>
            <w:vMerge w:val="continue"/>
            <w:noWrap w:val="0"/>
            <w:vAlign w:val="center"/>
          </w:tcPr>
          <w:p w14:paraId="124DD3BC">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05E29702">
            <w:pPr>
              <w:snapToGrid w:val="0"/>
              <w:spacing w:line="400" w:lineRule="exact"/>
              <w:rPr>
                <w:rFonts w:hint="eastAsia"/>
                <w:lang w:val="zh-CN" w:eastAsia="zh-CN"/>
              </w:rPr>
            </w:pPr>
            <w:r>
              <w:rPr>
                <w:rFonts w:hint="eastAsia" w:ascii="仿宋_GB2312" w:hAnsi="仿宋_GB2312" w:eastAsia="仿宋_GB2312" w:cs="仿宋_GB2312"/>
                <w:color w:val="auto"/>
                <w:kern w:val="2"/>
                <w:sz w:val="24"/>
                <w:szCs w:val="24"/>
                <w:lang w:val="zh-CN" w:eastAsia="zh-CN" w:bidi="ar-SA"/>
              </w:rPr>
              <w:t>食品批发企业，还应有食品销售记录制度。</w:t>
            </w:r>
          </w:p>
        </w:tc>
        <w:tc>
          <w:tcPr>
            <w:tcW w:w="585" w:type="dxa"/>
            <w:noWrap w:val="0"/>
            <w:vAlign w:val="center"/>
          </w:tcPr>
          <w:p w14:paraId="1D1668D3">
            <w:pPr>
              <w:numPr>
                <w:ilvl w:val="0"/>
                <w:numId w:val="0"/>
              </w:numPr>
              <w:snapToGrid w:val="0"/>
              <w:spacing w:line="400" w:lineRule="exact"/>
              <w:ind w:leftChars="0"/>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7</w:t>
            </w:r>
          </w:p>
        </w:tc>
        <w:tc>
          <w:tcPr>
            <w:tcW w:w="703" w:type="dxa"/>
            <w:noWrap w:val="0"/>
            <w:vAlign w:val="center"/>
          </w:tcPr>
          <w:p w14:paraId="434AEE05">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10FE4DE8">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32A8FE17">
            <w:pPr>
              <w:snapToGrid w:val="0"/>
              <w:spacing w:line="400" w:lineRule="exact"/>
              <w:rPr>
                <w:rFonts w:hint="eastAsia" w:ascii="仿宋_GB2312" w:hAnsi="仿宋_GB2312" w:eastAsia="仿宋_GB2312" w:cs="仿宋_GB2312"/>
                <w:color w:val="auto"/>
                <w:sz w:val="24"/>
              </w:rPr>
            </w:pPr>
          </w:p>
        </w:tc>
      </w:tr>
      <w:tr w14:paraId="56DB29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477" w:type="dxa"/>
            <w:vMerge w:val="restart"/>
            <w:noWrap w:val="0"/>
            <w:vAlign w:val="center"/>
          </w:tcPr>
          <w:p w14:paraId="393EDCEA">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特殊要求</w:t>
            </w:r>
          </w:p>
        </w:tc>
        <w:tc>
          <w:tcPr>
            <w:tcW w:w="795" w:type="dxa"/>
            <w:vMerge w:val="restart"/>
            <w:noWrap w:val="0"/>
            <w:vAlign w:val="center"/>
          </w:tcPr>
          <w:p w14:paraId="0CEBEA60">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zh-CN"/>
              </w:rPr>
              <w:t>销售</w:t>
            </w:r>
            <w:r>
              <w:rPr>
                <w:rFonts w:hint="eastAsia" w:ascii="仿宋_GB2312" w:hAnsi="仿宋_GB2312" w:cs="仿宋_GB2312"/>
                <w:color w:val="auto"/>
                <w:sz w:val="24"/>
                <w:lang w:val="zh-CN"/>
              </w:rPr>
              <w:t>直接入口</w:t>
            </w:r>
            <w:r>
              <w:rPr>
                <w:rFonts w:hint="eastAsia" w:ascii="仿宋_GB2312" w:hAnsi="仿宋_GB2312" w:eastAsia="仿宋_GB2312" w:cs="仿宋_GB2312"/>
                <w:color w:val="auto"/>
                <w:sz w:val="24"/>
                <w:lang w:val="zh-CN"/>
              </w:rPr>
              <w:t>散装</w:t>
            </w:r>
            <w:r>
              <w:rPr>
                <w:rFonts w:hint="eastAsia" w:ascii="仿宋_GB2312" w:hAnsi="仿宋_GB2312" w:cs="仿宋_GB2312"/>
                <w:color w:val="auto"/>
                <w:sz w:val="24"/>
                <w:lang w:val="zh-CN"/>
              </w:rPr>
              <w:t>食品</w:t>
            </w:r>
          </w:p>
        </w:tc>
        <w:tc>
          <w:tcPr>
            <w:tcW w:w="5516" w:type="dxa"/>
            <w:noWrap w:val="0"/>
            <w:vAlign w:val="center"/>
          </w:tcPr>
          <w:p w14:paraId="49868ECB">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zh-CN"/>
              </w:rPr>
              <w:t>销售直接入口</w:t>
            </w:r>
            <w:r>
              <w:rPr>
                <w:rFonts w:hint="eastAsia" w:ascii="仿宋_GB2312" w:hAnsi="仿宋_GB2312" w:eastAsia="仿宋_GB2312" w:cs="仿宋_GB2312"/>
                <w:color w:val="auto"/>
                <w:sz w:val="24"/>
                <w:lang w:val="zh-CN" w:eastAsia="zh-CN"/>
              </w:rPr>
              <w:t>散装</w:t>
            </w:r>
            <w:r>
              <w:rPr>
                <w:rFonts w:hint="eastAsia" w:ascii="仿宋_GB2312" w:hAnsi="仿宋_GB2312" w:eastAsia="仿宋_GB2312" w:cs="仿宋_GB2312"/>
                <w:color w:val="auto"/>
                <w:sz w:val="24"/>
                <w:lang w:val="zh-CN"/>
              </w:rPr>
              <w:t>食品的，</w:t>
            </w:r>
            <w:r>
              <w:rPr>
                <w:rFonts w:hint="default" w:ascii="仿宋_GB2312" w:hAnsi="仿宋_GB2312" w:eastAsia="仿宋_GB2312" w:cs="仿宋_GB2312"/>
                <w:color w:val="auto"/>
                <w:sz w:val="24"/>
                <w:lang w:val="zh-CN"/>
              </w:rPr>
              <w:t>销售、贮存区域应设置防腐、防尘、防蝇、防鼠、防虫以及防污染等设施设备，使用有效覆盖或隔离容器盛放食品。</w:t>
            </w:r>
          </w:p>
        </w:tc>
        <w:tc>
          <w:tcPr>
            <w:tcW w:w="585" w:type="dxa"/>
            <w:noWrap w:val="0"/>
            <w:vAlign w:val="center"/>
          </w:tcPr>
          <w:p w14:paraId="41C03301">
            <w:pPr>
              <w:numPr>
                <w:ilvl w:val="0"/>
                <w:numId w:val="0"/>
              </w:numPr>
              <w:snapToGrid w:val="0"/>
              <w:spacing w:line="400" w:lineRule="exact"/>
              <w:ind w:leftChars="0"/>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8</w:t>
            </w:r>
          </w:p>
        </w:tc>
        <w:tc>
          <w:tcPr>
            <w:tcW w:w="703" w:type="dxa"/>
            <w:noWrap w:val="0"/>
            <w:vAlign w:val="center"/>
          </w:tcPr>
          <w:p w14:paraId="05C48AE1">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7484F72B">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14547377">
            <w:pPr>
              <w:snapToGrid w:val="0"/>
              <w:spacing w:line="400" w:lineRule="exact"/>
              <w:rPr>
                <w:rFonts w:hint="eastAsia" w:ascii="仿宋_GB2312" w:hAnsi="仿宋_GB2312" w:eastAsia="仿宋_GB2312" w:cs="仿宋_GB2312"/>
                <w:color w:val="auto"/>
                <w:sz w:val="24"/>
              </w:rPr>
            </w:pPr>
          </w:p>
        </w:tc>
      </w:tr>
      <w:tr w14:paraId="17CF92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77" w:type="dxa"/>
            <w:vMerge w:val="continue"/>
            <w:noWrap w:val="0"/>
            <w:vAlign w:val="center"/>
          </w:tcPr>
          <w:p w14:paraId="403F6338">
            <w:pPr>
              <w:snapToGrid w:val="0"/>
              <w:spacing w:line="400" w:lineRule="exact"/>
              <w:rPr>
                <w:rFonts w:hint="eastAsia" w:ascii="仿宋_GB2312" w:hAnsi="仿宋_GB2312" w:eastAsia="仿宋_GB2312" w:cs="仿宋_GB2312"/>
                <w:color w:val="auto"/>
                <w:sz w:val="24"/>
              </w:rPr>
            </w:pPr>
          </w:p>
        </w:tc>
        <w:tc>
          <w:tcPr>
            <w:tcW w:w="795" w:type="dxa"/>
            <w:vMerge w:val="continue"/>
            <w:noWrap w:val="0"/>
            <w:vAlign w:val="center"/>
          </w:tcPr>
          <w:p w14:paraId="27ED48B0">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70E1ADB4">
            <w:pPr>
              <w:snapToGrid w:val="0"/>
              <w:spacing w:line="400" w:lineRule="exact"/>
              <w:rPr>
                <w:rFonts w:hint="eastAsia" w:ascii="仿宋_GB2312" w:hAnsi="仿宋_GB2312" w:eastAsia="仿宋_GB2312" w:cs="仿宋_GB2312"/>
                <w:color w:val="auto"/>
                <w:sz w:val="24"/>
              </w:rPr>
            </w:pPr>
            <w:r>
              <w:rPr>
                <w:rFonts w:hint="eastAsia" w:ascii="仿宋_GB2312" w:hAnsi="仿宋_GB2312" w:cs="仿宋_GB2312"/>
                <w:color w:val="auto"/>
                <w:sz w:val="24"/>
                <w:lang w:val="zh-CN"/>
              </w:rPr>
              <w:t>有存放</w:t>
            </w:r>
            <w:r>
              <w:rPr>
                <w:rFonts w:hint="default" w:ascii="仿宋_GB2312" w:hAnsi="仿宋_GB2312" w:eastAsia="仿宋_GB2312" w:cs="仿宋_GB2312"/>
                <w:color w:val="auto"/>
                <w:sz w:val="24"/>
                <w:lang w:val="zh-CN"/>
              </w:rPr>
              <w:t>售货工具</w:t>
            </w:r>
            <w:r>
              <w:rPr>
                <w:rFonts w:hint="eastAsia" w:ascii="仿宋_GB2312" w:hAnsi="仿宋_GB2312" w:cs="仿宋_GB2312"/>
                <w:color w:val="auto"/>
                <w:sz w:val="24"/>
                <w:lang w:val="zh-CN"/>
              </w:rPr>
              <w:t>的</w:t>
            </w:r>
            <w:r>
              <w:rPr>
                <w:rFonts w:hint="default" w:ascii="仿宋_GB2312" w:hAnsi="仿宋_GB2312" w:eastAsia="仿宋_GB2312" w:cs="仿宋_GB2312"/>
                <w:color w:val="auto"/>
                <w:sz w:val="24"/>
                <w:lang w:val="zh-CN"/>
              </w:rPr>
              <w:t>防尘、防蝇、防污染专用密闭保洁柜或专用的散装食品售货工具存放容器</w:t>
            </w:r>
            <w:r>
              <w:rPr>
                <w:rFonts w:hint="eastAsia" w:ascii="仿宋_GB2312" w:hAnsi="仿宋_GB2312" w:eastAsia="仿宋_GB2312" w:cs="仿宋_GB2312"/>
                <w:color w:val="auto"/>
                <w:sz w:val="24"/>
                <w:lang w:val="zh-CN"/>
              </w:rPr>
              <w:t>。</w:t>
            </w:r>
          </w:p>
        </w:tc>
        <w:tc>
          <w:tcPr>
            <w:tcW w:w="585" w:type="dxa"/>
            <w:noWrap w:val="0"/>
            <w:vAlign w:val="center"/>
          </w:tcPr>
          <w:p w14:paraId="720F9632">
            <w:pPr>
              <w:numPr>
                <w:ilvl w:val="0"/>
                <w:numId w:val="0"/>
              </w:numPr>
              <w:snapToGrid w:val="0"/>
              <w:spacing w:line="400" w:lineRule="exact"/>
              <w:ind w:leftChars="0"/>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9</w:t>
            </w:r>
          </w:p>
        </w:tc>
        <w:tc>
          <w:tcPr>
            <w:tcW w:w="703" w:type="dxa"/>
            <w:noWrap w:val="0"/>
            <w:vAlign w:val="center"/>
          </w:tcPr>
          <w:p w14:paraId="03EB1B4B">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38726AB4">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55BB3BAE">
            <w:pPr>
              <w:snapToGrid w:val="0"/>
              <w:spacing w:line="400" w:lineRule="exact"/>
              <w:rPr>
                <w:rFonts w:hint="eastAsia" w:ascii="仿宋_GB2312" w:hAnsi="仿宋_GB2312" w:eastAsia="仿宋_GB2312" w:cs="仿宋_GB2312"/>
                <w:color w:val="auto"/>
                <w:sz w:val="24"/>
              </w:rPr>
            </w:pPr>
          </w:p>
        </w:tc>
      </w:tr>
      <w:tr w14:paraId="445ADA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77" w:type="dxa"/>
            <w:vMerge w:val="continue"/>
            <w:noWrap w:val="0"/>
            <w:vAlign w:val="center"/>
          </w:tcPr>
          <w:p w14:paraId="623260F1">
            <w:pPr>
              <w:snapToGrid w:val="0"/>
              <w:spacing w:line="400" w:lineRule="exact"/>
              <w:rPr>
                <w:rFonts w:hint="eastAsia" w:ascii="仿宋_GB2312" w:hAnsi="仿宋_GB2312" w:eastAsia="仿宋_GB2312" w:cs="仿宋_GB2312"/>
                <w:color w:val="auto"/>
                <w:sz w:val="24"/>
              </w:rPr>
            </w:pPr>
          </w:p>
        </w:tc>
        <w:tc>
          <w:tcPr>
            <w:tcW w:w="795" w:type="dxa"/>
            <w:vMerge w:val="continue"/>
            <w:noWrap w:val="0"/>
            <w:vAlign w:val="center"/>
          </w:tcPr>
          <w:p w14:paraId="271F9BBB">
            <w:pPr>
              <w:snapToGrid w:val="0"/>
              <w:spacing w:line="400" w:lineRule="exact"/>
              <w:rPr>
                <w:rFonts w:hint="eastAsia" w:ascii="仿宋_GB2312" w:hAnsi="仿宋_GB2312" w:eastAsia="仿宋_GB2312" w:cs="仿宋_GB2312"/>
                <w:color w:val="auto"/>
                <w:sz w:val="24"/>
              </w:rPr>
            </w:pPr>
          </w:p>
        </w:tc>
        <w:tc>
          <w:tcPr>
            <w:tcW w:w="5516" w:type="dxa"/>
            <w:noWrap w:val="0"/>
            <w:vAlign w:val="center"/>
          </w:tcPr>
          <w:p w14:paraId="39A7CF79">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zh-CN"/>
              </w:rPr>
              <w:t>切</w:t>
            </w:r>
            <w:r>
              <w:rPr>
                <w:rFonts w:hint="eastAsia" w:ascii="仿宋_GB2312" w:hAnsi="仿宋_GB2312" w:eastAsia="仿宋_GB2312" w:cs="仿宋_GB2312"/>
                <w:color w:val="auto"/>
                <w:sz w:val="24"/>
              </w:rPr>
              <w:t>割</w:t>
            </w:r>
            <w:r>
              <w:rPr>
                <w:rFonts w:hint="eastAsia" w:ascii="仿宋_GB2312" w:hAnsi="仿宋_GB2312" w:eastAsia="仿宋_GB2312" w:cs="仿宋_GB2312"/>
                <w:color w:val="auto"/>
                <w:sz w:val="24"/>
                <w:lang w:val="zh-CN"/>
              </w:rPr>
              <w:t>散装熟食</w:t>
            </w:r>
            <w:r>
              <w:rPr>
                <w:rFonts w:hint="eastAsia" w:ascii="仿宋_GB2312" w:hAnsi="仿宋_GB2312" w:eastAsia="仿宋_GB2312" w:cs="仿宋_GB2312"/>
                <w:color w:val="auto"/>
                <w:sz w:val="24"/>
              </w:rPr>
              <w:t>的，</w:t>
            </w:r>
            <w:r>
              <w:rPr>
                <w:rFonts w:hint="eastAsia" w:ascii="仿宋_GB2312" w:hAnsi="仿宋_GB2312" w:eastAsia="仿宋_GB2312" w:cs="仿宋_GB2312"/>
                <w:color w:val="auto"/>
                <w:sz w:val="24"/>
                <w:lang w:val="zh-CN"/>
              </w:rPr>
              <w:t>有</w:t>
            </w:r>
            <w:r>
              <w:rPr>
                <w:rFonts w:hint="eastAsia" w:ascii="仿宋_GB2312" w:hAnsi="仿宋_GB2312" w:eastAsia="仿宋_GB2312" w:cs="仿宋_GB2312"/>
                <w:color w:val="auto"/>
                <w:sz w:val="24"/>
              </w:rPr>
              <w:t>专间或专区</w:t>
            </w:r>
            <w:r>
              <w:rPr>
                <w:rFonts w:hint="eastAsia" w:ascii="仿宋_GB2312" w:hAnsi="仿宋_GB2312" w:cs="仿宋_GB2312"/>
                <w:color w:val="auto"/>
                <w:sz w:val="24"/>
                <w:lang w:eastAsia="zh-CN"/>
              </w:rPr>
              <w:t>。</w:t>
            </w:r>
            <w:r>
              <w:rPr>
                <w:rFonts w:hint="eastAsia" w:ascii="仿宋_GB2312" w:hAnsi="仿宋_GB2312" w:eastAsia="仿宋_GB2312" w:cs="仿宋_GB2312"/>
                <w:color w:val="auto"/>
                <w:sz w:val="24"/>
              </w:rPr>
              <w:t>不</w:t>
            </w:r>
            <w:r>
              <w:rPr>
                <w:rFonts w:hint="eastAsia" w:ascii="仿宋_GB2312" w:hAnsi="仿宋_GB2312" w:eastAsia="仿宋_GB2312" w:cs="仿宋_GB2312"/>
                <w:color w:val="auto"/>
                <w:sz w:val="24"/>
                <w:lang w:val="zh-CN"/>
              </w:rPr>
              <w:t>切</w:t>
            </w:r>
            <w:r>
              <w:rPr>
                <w:rFonts w:hint="eastAsia" w:ascii="仿宋_GB2312" w:hAnsi="仿宋_GB2312" w:eastAsia="仿宋_GB2312" w:cs="仿宋_GB2312"/>
                <w:color w:val="auto"/>
                <w:sz w:val="24"/>
              </w:rPr>
              <w:t>割</w:t>
            </w:r>
            <w:r>
              <w:rPr>
                <w:rFonts w:hint="eastAsia" w:ascii="仿宋_GB2312" w:hAnsi="仿宋_GB2312" w:eastAsia="仿宋_GB2312" w:cs="仿宋_GB2312"/>
                <w:color w:val="auto"/>
                <w:sz w:val="24"/>
                <w:lang w:val="zh-CN"/>
              </w:rPr>
              <w:t>散装熟食</w:t>
            </w:r>
            <w:r>
              <w:rPr>
                <w:rFonts w:hint="eastAsia" w:ascii="仿宋_GB2312" w:hAnsi="仿宋_GB2312" w:eastAsia="仿宋_GB2312" w:cs="仿宋_GB2312"/>
                <w:color w:val="auto"/>
                <w:sz w:val="24"/>
              </w:rPr>
              <w:t>的，有专柜或专区或专间</w:t>
            </w:r>
            <w:r>
              <w:rPr>
                <w:rFonts w:hint="eastAsia" w:ascii="仿宋_GB2312" w:hAnsi="仿宋_GB2312" w:cs="仿宋_GB2312"/>
                <w:color w:val="auto"/>
                <w:sz w:val="24"/>
                <w:lang w:eastAsia="zh-CN"/>
              </w:rPr>
              <w:t>，</w:t>
            </w:r>
            <w:r>
              <w:rPr>
                <w:rFonts w:hint="eastAsia" w:ascii="仿宋_GB2312" w:hAnsi="仿宋_GB2312" w:eastAsia="仿宋_GB2312" w:cs="仿宋_GB2312"/>
                <w:color w:val="auto"/>
                <w:sz w:val="24"/>
              </w:rPr>
              <w:t>专柜有防污染设施，设置可开闭式食品传递设施。专间、专区符合相应核查内容的规定。</w:t>
            </w:r>
          </w:p>
        </w:tc>
        <w:tc>
          <w:tcPr>
            <w:tcW w:w="585" w:type="dxa"/>
            <w:noWrap w:val="0"/>
            <w:vAlign w:val="center"/>
          </w:tcPr>
          <w:p w14:paraId="4DD03A5E">
            <w:pPr>
              <w:numPr>
                <w:ilvl w:val="0"/>
                <w:numId w:val="0"/>
              </w:numPr>
              <w:snapToGrid w:val="0"/>
              <w:spacing w:line="400" w:lineRule="exact"/>
              <w:ind w:leftChars="0"/>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10</w:t>
            </w:r>
          </w:p>
        </w:tc>
        <w:tc>
          <w:tcPr>
            <w:tcW w:w="703" w:type="dxa"/>
            <w:noWrap w:val="0"/>
            <w:vAlign w:val="center"/>
          </w:tcPr>
          <w:p w14:paraId="2706EBFA">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7761FF42">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286650F4">
            <w:pPr>
              <w:snapToGrid w:val="0"/>
              <w:spacing w:line="400" w:lineRule="exact"/>
              <w:rPr>
                <w:rFonts w:hint="eastAsia" w:ascii="仿宋_GB2312" w:hAnsi="仿宋_GB2312" w:eastAsia="仿宋_GB2312" w:cs="仿宋_GB2312"/>
                <w:color w:val="auto"/>
                <w:sz w:val="24"/>
              </w:rPr>
            </w:pPr>
          </w:p>
        </w:tc>
      </w:tr>
      <w:tr w14:paraId="7EEDBA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77" w:type="dxa"/>
            <w:vMerge w:val="continue"/>
            <w:noWrap w:val="0"/>
            <w:vAlign w:val="center"/>
          </w:tcPr>
          <w:p w14:paraId="5F8990A4">
            <w:pPr>
              <w:snapToGrid w:val="0"/>
              <w:spacing w:line="400" w:lineRule="exact"/>
              <w:rPr>
                <w:rFonts w:hint="eastAsia" w:ascii="仿宋_GB2312" w:hAnsi="仿宋_GB2312" w:eastAsia="仿宋_GB2312" w:cs="仿宋_GB2312"/>
                <w:color w:val="auto"/>
                <w:sz w:val="24"/>
              </w:rPr>
            </w:pPr>
          </w:p>
        </w:tc>
        <w:tc>
          <w:tcPr>
            <w:tcW w:w="795" w:type="dxa"/>
            <w:noWrap w:val="0"/>
            <w:vAlign w:val="center"/>
          </w:tcPr>
          <w:p w14:paraId="55D8E26B">
            <w:pPr>
              <w:snapToGrid w:val="0"/>
              <w:spacing w:line="400" w:lineRule="exact"/>
              <w:rPr>
                <w:rFonts w:hint="eastAsia" w:ascii="仿宋_GB2312" w:hAnsi="仿宋_GB2312" w:eastAsia="仿宋_GB2312" w:cs="仿宋_GB2312"/>
                <w:color w:val="auto"/>
                <w:sz w:val="24"/>
              </w:rPr>
            </w:pPr>
            <w:r>
              <w:rPr>
                <w:rFonts w:hint="eastAsia" w:ascii="仿宋_GB2312" w:hAnsi="仿宋_GB2312" w:cs="仿宋_GB2312"/>
                <w:color w:val="auto"/>
                <w:sz w:val="24"/>
                <w:lang w:eastAsia="zh-CN"/>
              </w:rPr>
              <w:t>餐饮服务</w:t>
            </w:r>
          </w:p>
        </w:tc>
        <w:tc>
          <w:tcPr>
            <w:tcW w:w="5516" w:type="dxa"/>
            <w:noWrap w:val="0"/>
            <w:vAlign w:val="center"/>
          </w:tcPr>
          <w:p w14:paraId="71DEEE1D">
            <w:pPr>
              <w:snapToGrid w:val="0"/>
              <w:spacing w:line="4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申请</w:t>
            </w:r>
            <w:r>
              <w:rPr>
                <w:rFonts w:hint="eastAsia" w:ascii="仿宋_GB2312" w:hAnsi="仿宋_GB2312" w:cs="仿宋_GB2312"/>
                <w:color w:val="auto"/>
                <w:sz w:val="24"/>
                <w:lang w:eastAsia="zh-CN"/>
              </w:rPr>
              <w:t>餐饮服务</w:t>
            </w:r>
            <w:r>
              <w:rPr>
                <w:rFonts w:hint="eastAsia" w:ascii="仿宋_GB2312" w:hAnsi="仿宋_GB2312" w:eastAsia="仿宋_GB2312" w:cs="仿宋_GB2312"/>
                <w:color w:val="auto"/>
                <w:sz w:val="24"/>
              </w:rPr>
              <w:t>经营项目的，</w:t>
            </w:r>
            <w:r>
              <w:rPr>
                <w:rFonts w:hint="eastAsia" w:ascii="仿宋_GB2312" w:hAnsi="仿宋_GB2312" w:cs="仿宋_GB2312"/>
                <w:color w:val="auto"/>
                <w:sz w:val="24"/>
                <w:lang w:eastAsia="zh-CN"/>
              </w:rPr>
              <w:t>应</w:t>
            </w:r>
            <w:r>
              <w:rPr>
                <w:rFonts w:hint="eastAsia" w:ascii="仿宋_GB2312" w:hAnsi="仿宋_GB2312" w:eastAsia="仿宋_GB2312" w:cs="仿宋_GB2312"/>
                <w:color w:val="auto"/>
                <w:sz w:val="24"/>
              </w:rPr>
              <w:t>同时符合</w:t>
            </w:r>
            <w:r>
              <w:rPr>
                <w:rFonts w:hint="eastAsia" w:ascii="仿宋_GB2312" w:hAnsi="仿宋_GB2312" w:cs="仿宋_GB2312"/>
                <w:color w:val="auto"/>
                <w:sz w:val="24"/>
                <w:lang w:eastAsia="zh-CN"/>
              </w:rPr>
              <w:t>相应经营项目</w:t>
            </w:r>
            <w:r>
              <w:rPr>
                <w:rFonts w:hint="eastAsia" w:ascii="仿宋_GB2312" w:hAnsi="仿宋_GB2312" w:eastAsia="仿宋_GB2312" w:cs="仿宋_GB2312"/>
                <w:color w:val="auto"/>
                <w:sz w:val="24"/>
              </w:rPr>
              <w:t>核查内容的规定。</w:t>
            </w:r>
          </w:p>
        </w:tc>
        <w:tc>
          <w:tcPr>
            <w:tcW w:w="585" w:type="dxa"/>
            <w:noWrap w:val="0"/>
            <w:vAlign w:val="center"/>
          </w:tcPr>
          <w:p w14:paraId="48C113F1">
            <w:pPr>
              <w:numPr>
                <w:ilvl w:val="0"/>
                <w:numId w:val="0"/>
              </w:numPr>
              <w:snapToGrid w:val="0"/>
              <w:spacing w:line="400" w:lineRule="exact"/>
              <w:ind w:leftChars="0"/>
              <w:jc w:val="center"/>
              <w:rPr>
                <w:rFonts w:hint="default"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11</w:t>
            </w:r>
          </w:p>
        </w:tc>
        <w:tc>
          <w:tcPr>
            <w:tcW w:w="703" w:type="dxa"/>
            <w:noWrap w:val="0"/>
            <w:vAlign w:val="center"/>
          </w:tcPr>
          <w:p w14:paraId="26B7CA09">
            <w:pPr>
              <w:snapToGrid w:val="0"/>
              <w:spacing w:line="400" w:lineRule="exact"/>
              <w:rPr>
                <w:rFonts w:hint="eastAsia" w:ascii="仿宋_GB2312" w:hAnsi="仿宋_GB2312" w:eastAsia="仿宋_GB2312" w:cs="仿宋_GB2312"/>
                <w:color w:val="auto"/>
                <w:sz w:val="24"/>
              </w:rPr>
            </w:pPr>
          </w:p>
        </w:tc>
        <w:tc>
          <w:tcPr>
            <w:tcW w:w="780" w:type="dxa"/>
            <w:noWrap w:val="0"/>
            <w:vAlign w:val="center"/>
          </w:tcPr>
          <w:p w14:paraId="6A00D158">
            <w:pPr>
              <w:snapToGrid w:val="0"/>
              <w:spacing w:line="400" w:lineRule="exact"/>
              <w:rPr>
                <w:rFonts w:hint="eastAsia" w:ascii="仿宋_GB2312" w:hAnsi="仿宋_GB2312" w:eastAsia="仿宋_GB2312" w:cs="仿宋_GB2312"/>
                <w:color w:val="auto"/>
                <w:sz w:val="24"/>
              </w:rPr>
            </w:pPr>
          </w:p>
        </w:tc>
        <w:tc>
          <w:tcPr>
            <w:tcW w:w="765" w:type="dxa"/>
            <w:noWrap w:val="0"/>
            <w:vAlign w:val="center"/>
          </w:tcPr>
          <w:p w14:paraId="4E0C9B39">
            <w:pPr>
              <w:snapToGrid w:val="0"/>
              <w:spacing w:line="400" w:lineRule="exact"/>
              <w:rPr>
                <w:rFonts w:hint="eastAsia" w:ascii="仿宋_GB2312" w:hAnsi="仿宋_GB2312" w:eastAsia="仿宋_GB2312" w:cs="仿宋_GB2312"/>
                <w:color w:val="auto"/>
                <w:sz w:val="24"/>
              </w:rPr>
            </w:pPr>
          </w:p>
        </w:tc>
      </w:tr>
    </w:tbl>
    <w:p w14:paraId="55604FE8">
      <w:pPr>
        <w:spacing w:line="300" w:lineRule="exact"/>
        <w:ind w:firstLine="420"/>
        <w:rPr>
          <w:rFonts w:hint="eastAsia" w:ascii="仿宋_GB2312" w:hAnsi="仿宋_GB2312" w:cs="仿宋_GB2312"/>
          <w:color w:val="auto"/>
          <w:sz w:val="24"/>
        </w:rPr>
      </w:pPr>
    </w:p>
    <w:p w14:paraId="7A99F42B">
      <w:pPr>
        <w:pStyle w:val="2"/>
        <w:rPr>
          <w:rFonts w:hint="eastAsia"/>
        </w:rPr>
      </w:pPr>
    </w:p>
    <w:p w14:paraId="5E992459">
      <w:pPr>
        <w:pStyle w:val="2"/>
        <w:rPr>
          <w:rFonts w:hint="eastAsia"/>
        </w:rPr>
      </w:pPr>
    </w:p>
    <w:p w14:paraId="51B69942">
      <w:pPr>
        <w:spacing w:line="580" w:lineRule="exact"/>
        <w:jc w:val="center"/>
        <w:rPr>
          <w:rFonts w:hint="eastAsia" w:ascii="方正小标宋简体" w:hAnsi="华文中宋" w:eastAsia="方正小标宋简体"/>
          <w:color w:val="auto"/>
          <w:szCs w:val="32"/>
        </w:rPr>
      </w:pPr>
    </w:p>
    <w:p w14:paraId="6793A74E">
      <w:pPr>
        <w:pStyle w:val="2"/>
        <w:rPr>
          <w:rFonts w:hint="eastAsia"/>
        </w:rPr>
      </w:pPr>
    </w:p>
    <w:p w14:paraId="1CF42A2D">
      <w:pPr>
        <w:rPr>
          <w:rFonts w:hint="eastAsia"/>
        </w:rPr>
      </w:pPr>
    </w:p>
    <w:p w14:paraId="424FF434">
      <w:pPr>
        <w:pStyle w:val="2"/>
        <w:rPr>
          <w:rFonts w:hint="eastAsia"/>
        </w:rPr>
      </w:pPr>
    </w:p>
    <w:p w14:paraId="72E5E0BD">
      <w:pPr>
        <w:rPr>
          <w:rFonts w:hint="eastAsia"/>
        </w:rPr>
      </w:pPr>
    </w:p>
    <w:p w14:paraId="51D96189">
      <w:pPr>
        <w:pStyle w:val="2"/>
        <w:rPr>
          <w:rFonts w:hint="eastAsia"/>
        </w:rPr>
      </w:pPr>
    </w:p>
    <w:p w14:paraId="7BA26287">
      <w:pPr>
        <w:rPr>
          <w:rFonts w:hint="eastAsia"/>
        </w:rPr>
      </w:pPr>
    </w:p>
    <w:p w14:paraId="6382813C">
      <w:pPr>
        <w:pStyle w:val="2"/>
        <w:rPr>
          <w:rFonts w:hint="eastAsia"/>
        </w:rPr>
      </w:pPr>
    </w:p>
    <w:p w14:paraId="245E8645">
      <w:pPr>
        <w:rPr>
          <w:rFonts w:hint="eastAsia"/>
        </w:rPr>
      </w:pPr>
    </w:p>
    <w:p w14:paraId="52F34166">
      <w:pPr>
        <w:pStyle w:val="2"/>
        <w:rPr>
          <w:rFonts w:hint="eastAsia"/>
        </w:rPr>
      </w:pPr>
    </w:p>
    <w:p w14:paraId="12F12DED">
      <w:pPr>
        <w:rPr>
          <w:rFonts w:hint="eastAsia"/>
        </w:rPr>
      </w:pPr>
    </w:p>
    <w:p w14:paraId="69263579">
      <w:pPr>
        <w:pStyle w:val="2"/>
        <w:rPr>
          <w:rFonts w:hint="eastAsia"/>
        </w:rPr>
      </w:pPr>
    </w:p>
    <w:p w14:paraId="0A9F02B7">
      <w:pPr>
        <w:rPr>
          <w:rFonts w:hint="eastAsia"/>
        </w:rPr>
      </w:pPr>
    </w:p>
    <w:p w14:paraId="245EAB3D">
      <w:pPr>
        <w:pStyle w:val="2"/>
        <w:rPr>
          <w:rFonts w:hint="eastAsia"/>
        </w:rPr>
      </w:pPr>
    </w:p>
    <w:p w14:paraId="1CF528ED">
      <w:pPr>
        <w:rPr>
          <w:rFonts w:hint="eastAsia"/>
        </w:rPr>
      </w:pPr>
    </w:p>
    <w:p w14:paraId="525971A2">
      <w:pPr>
        <w:spacing w:line="580" w:lineRule="exact"/>
        <w:jc w:val="center"/>
        <w:rPr>
          <w:rFonts w:hint="eastAsia" w:ascii="方正小标宋简体" w:hAnsi="华文中宋" w:eastAsia="方正小标宋简体"/>
          <w:color w:val="auto"/>
          <w:szCs w:val="32"/>
          <w:lang w:eastAsia="zh-CN"/>
        </w:rPr>
      </w:pPr>
      <w:r>
        <w:rPr>
          <w:rFonts w:hint="eastAsia" w:ascii="方正小标宋简体" w:hAnsi="华文中宋" w:eastAsia="方正小标宋简体"/>
          <w:color w:val="auto"/>
          <w:szCs w:val="32"/>
        </w:rPr>
        <w:t>第二类</w:t>
      </w:r>
      <w:r>
        <w:rPr>
          <w:rFonts w:ascii="方正小标宋简体" w:hAnsi="华文中宋" w:eastAsia="方正小标宋简体"/>
          <w:color w:val="auto"/>
          <w:szCs w:val="32"/>
        </w:rPr>
        <w:t xml:space="preserve"> </w:t>
      </w:r>
      <w:r>
        <w:rPr>
          <w:rFonts w:hint="eastAsia" w:ascii="方正小标宋简体" w:hAnsi="华文中宋" w:eastAsia="方正小标宋简体"/>
          <w:color w:val="auto"/>
          <w:szCs w:val="32"/>
        </w:rPr>
        <w:t>食品经营许可现场核查</w:t>
      </w:r>
      <w:r>
        <w:rPr>
          <w:rFonts w:hint="eastAsia" w:ascii="方正小标宋简体" w:hAnsi="华文中宋" w:eastAsia="方正小标宋简体"/>
          <w:color w:val="auto"/>
          <w:szCs w:val="32"/>
          <w:lang w:eastAsia="zh-CN"/>
        </w:rPr>
        <w:t>内容</w:t>
      </w:r>
    </w:p>
    <w:p w14:paraId="284EB9C1">
      <w:pPr>
        <w:spacing w:line="580" w:lineRule="exact"/>
        <w:jc w:val="center"/>
        <w:rPr>
          <w:rFonts w:hint="eastAsia" w:ascii="楷体" w:hAnsi="楷体" w:eastAsia="楷体"/>
          <w:color w:val="auto"/>
          <w:szCs w:val="32"/>
          <w:lang w:eastAsia="zh-CN"/>
        </w:rPr>
      </w:pPr>
      <w:r>
        <w:rPr>
          <w:rFonts w:hint="eastAsia" w:ascii="楷体" w:hAnsi="楷体" w:eastAsia="楷体"/>
          <w:color w:val="auto"/>
          <w:szCs w:val="32"/>
        </w:rPr>
        <w:t>（适用于</w:t>
      </w:r>
      <w:r>
        <w:rPr>
          <w:rFonts w:hint="eastAsia" w:ascii="楷体" w:hAnsi="楷体" w:eastAsia="楷体"/>
          <w:color w:val="auto"/>
          <w:szCs w:val="32"/>
          <w:lang w:eastAsia="zh-CN"/>
        </w:rPr>
        <w:t>除小餐饮、从事食品经营管理之外</w:t>
      </w:r>
    </w:p>
    <w:p w14:paraId="5E347738">
      <w:pPr>
        <w:spacing w:line="580" w:lineRule="exact"/>
        <w:jc w:val="center"/>
        <w:rPr>
          <w:rFonts w:hint="eastAsia" w:ascii="楷体" w:hAnsi="楷体" w:eastAsia="楷体"/>
          <w:color w:val="auto"/>
          <w:szCs w:val="32"/>
        </w:rPr>
      </w:pPr>
      <w:r>
        <w:rPr>
          <w:rFonts w:hint="eastAsia" w:ascii="楷体" w:hAnsi="楷体" w:eastAsia="楷体"/>
          <w:color w:val="auto"/>
          <w:szCs w:val="32"/>
          <w:lang w:eastAsia="zh-CN"/>
        </w:rPr>
        <w:t>的餐饮服务提供者</w:t>
      </w:r>
      <w:r>
        <w:rPr>
          <w:rFonts w:hint="eastAsia" w:ascii="楷体" w:hAnsi="楷体" w:eastAsia="楷体"/>
          <w:color w:val="auto"/>
          <w:szCs w:val="32"/>
        </w:rPr>
        <w:t>）</w:t>
      </w:r>
    </w:p>
    <w:p w14:paraId="3C164455">
      <w:pPr>
        <w:snapToGrid w:val="0"/>
        <w:spacing w:line="300" w:lineRule="exact"/>
        <w:rPr>
          <w:rFonts w:hint="eastAsia" w:ascii="仿宋_GB2312" w:hAnsi="仿宋_GB2312" w:cs="仿宋_GB2312"/>
          <w:color w:val="auto"/>
          <w:sz w:val="24"/>
        </w:rPr>
      </w:pPr>
    </w:p>
    <w:p w14:paraId="4CA0D58F">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经营者名称：                                    地    址：                                  </w:t>
      </w:r>
    </w:p>
    <w:p w14:paraId="6AC600AC">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申请经营业态:                                   申请经营项目：                             </w:t>
      </w:r>
    </w:p>
    <w:tbl>
      <w:tblPr>
        <w:tblStyle w:val="5"/>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034"/>
        <w:gridCol w:w="555"/>
        <w:gridCol w:w="555"/>
        <w:gridCol w:w="795"/>
        <w:gridCol w:w="716"/>
      </w:tblGrid>
      <w:tr w14:paraId="6A7F5F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11" w:type="dxa"/>
            <w:vMerge w:val="restart"/>
            <w:noWrap w:val="0"/>
            <w:vAlign w:val="center"/>
          </w:tcPr>
          <w:p w14:paraId="5777BCD4">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核查内容</w:t>
            </w:r>
          </w:p>
        </w:tc>
        <w:tc>
          <w:tcPr>
            <w:tcW w:w="6034" w:type="dxa"/>
            <w:vMerge w:val="restart"/>
            <w:noWrap w:val="0"/>
            <w:vAlign w:val="center"/>
          </w:tcPr>
          <w:p w14:paraId="1E9286FA">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核查和评价方法</w:t>
            </w:r>
          </w:p>
        </w:tc>
        <w:tc>
          <w:tcPr>
            <w:tcW w:w="555" w:type="dxa"/>
            <w:vMerge w:val="restart"/>
            <w:noWrap w:val="0"/>
            <w:vAlign w:val="center"/>
          </w:tcPr>
          <w:p w14:paraId="380703B8">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序</w:t>
            </w:r>
            <w:r>
              <w:rPr>
                <w:rFonts w:hint="eastAsia" w:ascii="宋体" w:hAnsi="宋体" w:eastAsia="宋体" w:cs="宋体"/>
                <w:b/>
                <w:bCs w:val="0"/>
                <w:color w:val="auto"/>
                <w:sz w:val="24"/>
                <w:szCs w:val="24"/>
              </w:rPr>
              <w:t>号</w:t>
            </w:r>
          </w:p>
        </w:tc>
        <w:tc>
          <w:tcPr>
            <w:tcW w:w="2066" w:type="dxa"/>
            <w:gridSpan w:val="3"/>
            <w:noWrap w:val="0"/>
            <w:vAlign w:val="center"/>
          </w:tcPr>
          <w:p w14:paraId="2D243225">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结果判定</w:t>
            </w:r>
          </w:p>
        </w:tc>
      </w:tr>
      <w:tr w14:paraId="0DA4E9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1211" w:type="dxa"/>
            <w:vMerge w:val="continue"/>
            <w:noWrap w:val="0"/>
            <w:vAlign w:val="center"/>
          </w:tcPr>
          <w:p w14:paraId="7CFD8256">
            <w:pPr>
              <w:pageBreakBefore w:val="0"/>
              <w:widowControl w:val="0"/>
              <w:kinsoku/>
              <w:wordWrap/>
              <w:overflowPunct/>
              <w:topLinePunct w:val="0"/>
              <w:autoSpaceDE/>
              <w:autoSpaceDN/>
              <w:bidi w:val="0"/>
              <w:adjustRightInd/>
              <w:spacing w:line="300" w:lineRule="exact"/>
              <w:textAlignment w:val="auto"/>
              <w:rPr>
                <w:rFonts w:hint="eastAsia" w:ascii="宋体" w:hAnsi="宋体" w:eastAsia="宋体" w:cs="宋体"/>
                <w:b/>
                <w:bCs w:val="0"/>
                <w:color w:val="auto"/>
                <w:sz w:val="24"/>
                <w:szCs w:val="24"/>
              </w:rPr>
            </w:pPr>
          </w:p>
        </w:tc>
        <w:tc>
          <w:tcPr>
            <w:tcW w:w="6034" w:type="dxa"/>
            <w:vMerge w:val="continue"/>
            <w:noWrap w:val="0"/>
            <w:vAlign w:val="center"/>
          </w:tcPr>
          <w:p w14:paraId="14ED4DA0">
            <w:pPr>
              <w:pageBreakBefore w:val="0"/>
              <w:widowControl w:val="0"/>
              <w:kinsoku/>
              <w:wordWrap/>
              <w:overflowPunct/>
              <w:topLinePunct w:val="0"/>
              <w:autoSpaceDE/>
              <w:autoSpaceDN/>
              <w:bidi w:val="0"/>
              <w:adjustRightInd/>
              <w:spacing w:line="300" w:lineRule="exact"/>
              <w:textAlignment w:val="auto"/>
              <w:rPr>
                <w:rFonts w:hint="eastAsia" w:ascii="宋体" w:hAnsi="宋体" w:eastAsia="宋体" w:cs="宋体"/>
                <w:b/>
                <w:bCs w:val="0"/>
                <w:color w:val="auto"/>
                <w:sz w:val="24"/>
                <w:szCs w:val="24"/>
              </w:rPr>
            </w:pPr>
          </w:p>
        </w:tc>
        <w:tc>
          <w:tcPr>
            <w:tcW w:w="555" w:type="dxa"/>
            <w:vMerge w:val="continue"/>
            <w:noWrap w:val="0"/>
            <w:vAlign w:val="center"/>
          </w:tcPr>
          <w:p w14:paraId="5E8BDAB4">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p>
        </w:tc>
        <w:tc>
          <w:tcPr>
            <w:tcW w:w="555" w:type="dxa"/>
            <w:noWrap w:val="0"/>
            <w:vAlign w:val="center"/>
          </w:tcPr>
          <w:p w14:paraId="4F7A9A6B">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符合</w:t>
            </w:r>
          </w:p>
        </w:tc>
        <w:tc>
          <w:tcPr>
            <w:tcW w:w="795" w:type="dxa"/>
            <w:noWrap w:val="0"/>
            <w:vAlign w:val="center"/>
          </w:tcPr>
          <w:p w14:paraId="3A73D61E">
            <w:pPr>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不符合</w:t>
            </w:r>
          </w:p>
        </w:tc>
        <w:tc>
          <w:tcPr>
            <w:tcW w:w="716" w:type="dxa"/>
            <w:noWrap w:val="0"/>
            <w:vAlign w:val="center"/>
          </w:tcPr>
          <w:p w14:paraId="530CA607">
            <w:pPr>
              <w:pageBreakBefore w:val="0"/>
              <w:widowControl w:val="0"/>
              <w:kinsoku/>
              <w:wordWrap/>
              <w:overflowPunct/>
              <w:topLinePunct w:val="0"/>
              <w:autoSpaceDE/>
              <w:autoSpaceDN/>
              <w:bidi w:val="0"/>
              <w:adjustRightInd/>
              <w:spacing w:line="300" w:lineRule="exac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合理缺项</w:t>
            </w:r>
          </w:p>
        </w:tc>
      </w:tr>
      <w:tr w14:paraId="6412C7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211" w:type="dxa"/>
            <w:vMerge w:val="restart"/>
            <w:noWrap w:val="0"/>
            <w:vAlign w:val="center"/>
          </w:tcPr>
          <w:p w14:paraId="4537BB0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1.</w:t>
            </w:r>
            <w:r>
              <w:rPr>
                <w:rFonts w:hint="eastAsia" w:ascii="仿宋_GB2312" w:hAnsi="仿宋_GB2312" w:cs="仿宋_GB2312"/>
                <w:b w:val="0"/>
                <w:bCs/>
                <w:color w:val="auto"/>
                <w:sz w:val="24"/>
                <w:szCs w:val="24"/>
                <w:lang w:eastAsia="zh-CN"/>
              </w:rPr>
              <w:t>场所设置、布局</w:t>
            </w:r>
          </w:p>
        </w:tc>
        <w:tc>
          <w:tcPr>
            <w:tcW w:w="6034" w:type="dxa"/>
            <w:noWrap w:val="0"/>
            <w:vAlign w:val="center"/>
          </w:tcPr>
          <w:p w14:paraId="0A5F067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选择有给排水条件</w:t>
            </w:r>
            <w:r>
              <w:rPr>
                <w:rFonts w:hint="eastAsia" w:ascii="仿宋_GB2312" w:hAnsi="仿宋_GB2312" w:cs="仿宋_GB2312"/>
                <w:b w:val="0"/>
                <w:bCs/>
                <w:color w:val="auto"/>
                <w:sz w:val="24"/>
                <w:szCs w:val="24"/>
                <w:lang w:eastAsia="zh-CN"/>
              </w:rPr>
              <w:t>和电力供应</w:t>
            </w:r>
            <w:r>
              <w:rPr>
                <w:rFonts w:hint="eastAsia" w:ascii="仿宋_GB2312" w:hAnsi="仿宋_GB2312" w:eastAsia="仿宋_GB2312" w:cs="仿宋_GB2312"/>
                <w:b w:val="0"/>
                <w:bCs/>
                <w:color w:val="auto"/>
                <w:sz w:val="24"/>
                <w:szCs w:val="24"/>
              </w:rPr>
              <w:t>的场所，设置与食品供应方式和品种相适应的初加工、切配、烹饪、餐用具清洗消毒、备餐等加工操作场所，以及食品库房（存贮区域）、更衣、清洁工具存放场所等。除清洁工具存放场所外，其它场所均设在室内。</w:t>
            </w:r>
          </w:p>
        </w:tc>
        <w:tc>
          <w:tcPr>
            <w:tcW w:w="555" w:type="dxa"/>
            <w:noWrap w:val="0"/>
            <w:vAlign w:val="center"/>
          </w:tcPr>
          <w:p w14:paraId="0F21CA68">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w:t>
            </w:r>
          </w:p>
        </w:tc>
        <w:tc>
          <w:tcPr>
            <w:tcW w:w="555" w:type="dxa"/>
            <w:noWrap w:val="0"/>
            <w:vAlign w:val="center"/>
          </w:tcPr>
          <w:p w14:paraId="1091F44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724EC6D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08C2C80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ACC05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11" w:type="dxa"/>
            <w:vMerge w:val="continue"/>
            <w:noWrap w:val="0"/>
            <w:vAlign w:val="center"/>
          </w:tcPr>
          <w:p w14:paraId="3B42C6C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cs="仿宋_GB2312"/>
                <w:b w:val="0"/>
                <w:bCs/>
                <w:color w:val="auto"/>
                <w:sz w:val="24"/>
                <w:szCs w:val="24"/>
                <w:lang w:val="en-US" w:eastAsia="zh-CN"/>
              </w:rPr>
            </w:pPr>
          </w:p>
        </w:tc>
        <w:tc>
          <w:tcPr>
            <w:tcW w:w="6034" w:type="dxa"/>
            <w:noWrap w:val="0"/>
            <w:vAlign w:val="center"/>
          </w:tcPr>
          <w:p w14:paraId="69019B3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食品原料处理和食品加工、销售、贮存等场所环境整洁</w:t>
            </w:r>
            <w:r>
              <w:rPr>
                <w:rFonts w:hint="eastAsia" w:ascii="仿宋_GB2312" w:hAnsi="仿宋_GB2312" w:eastAsia="仿宋_GB2312" w:cs="仿宋_GB2312"/>
                <w:color w:val="auto"/>
                <w:sz w:val="24"/>
              </w:rPr>
              <w:t>。</w:t>
            </w:r>
          </w:p>
        </w:tc>
        <w:tc>
          <w:tcPr>
            <w:tcW w:w="555" w:type="dxa"/>
            <w:noWrap w:val="0"/>
            <w:vAlign w:val="center"/>
          </w:tcPr>
          <w:p w14:paraId="3694D6FF">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w:t>
            </w:r>
          </w:p>
        </w:tc>
        <w:tc>
          <w:tcPr>
            <w:tcW w:w="555" w:type="dxa"/>
            <w:noWrap w:val="0"/>
            <w:vAlign w:val="center"/>
          </w:tcPr>
          <w:p w14:paraId="673B63F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3C1ACEF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328649C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53285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211" w:type="dxa"/>
            <w:vMerge w:val="continue"/>
            <w:noWrap w:val="0"/>
            <w:vAlign w:val="center"/>
          </w:tcPr>
          <w:p w14:paraId="7604C7B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722F5C5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食品处理区按照原料进入、原料制作、半成品制作、成品供应的顺序合理布局，实际面积、设备设施布局及流程与申报面积及</w:t>
            </w:r>
            <w:r>
              <w:rPr>
                <w:rFonts w:hint="eastAsia" w:ascii="仿宋_GB2312" w:hAnsi="仿宋_GB2312" w:cs="仿宋_GB2312"/>
                <w:b w:val="0"/>
                <w:bCs/>
                <w:color w:val="auto"/>
                <w:sz w:val="24"/>
                <w:szCs w:val="24"/>
                <w:lang w:eastAsia="zh-CN"/>
              </w:rPr>
              <w:t>平面</w:t>
            </w:r>
            <w:r>
              <w:rPr>
                <w:rFonts w:hint="eastAsia" w:ascii="仿宋_GB2312" w:hAnsi="仿宋_GB2312" w:eastAsia="仿宋_GB2312" w:cs="仿宋_GB2312"/>
                <w:b w:val="0"/>
                <w:bCs/>
                <w:color w:val="auto"/>
                <w:sz w:val="24"/>
                <w:szCs w:val="24"/>
              </w:rPr>
              <w:t>图相一致。</w:t>
            </w:r>
          </w:p>
        </w:tc>
        <w:tc>
          <w:tcPr>
            <w:tcW w:w="555" w:type="dxa"/>
            <w:noWrap w:val="0"/>
            <w:vAlign w:val="center"/>
          </w:tcPr>
          <w:p w14:paraId="25F71560">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w:t>
            </w:r>
          </w:p>
        </w:tc>
        <w:tc>
          <w:tcPr>
            <w:tcW w:w="555" w:type="dxa"/>
            <w:noWrap w:val="0"/>
            <w:vAlign w:val="center"/>
          </w:tcPr>
          <w:p w14:paraId="127AC4E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37B54A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3F2730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08B42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11" w:type="dxa"/>
            <w:vMerge w:val="continue"/>
            <w:noWrap w:val="0"/>
            <w:vAlign w:val="center"/>
          </w:tcPr>
          <w:p w14:paraId="2C30E40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095EEF5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食品处理区地面用无毒、无异味、不透水、防滑材料铺设，且平整、无裂缝。排水管道出水口篦子使用金属材料，缝隙小于10mm。</w:t>
            </w:r>
          </w:p>
        </w:tc>
        <w:tc>
          <w:tcPr>
            <w:tcW w:w="555" w:type="dxa"/>
            <w:noWrap w:val="0"/>
            <w:vAlign w:val="center"/>
          </w:tcPr>
          <w:p w14:paraId="79BEC1E6">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4</w:t>
            </w:r>
          </w:p>
        </w:tc>
        <w:tc>
          <w:tcPr>
            <w:tcW w:w="555" w:type="dxa"/>
            <w:noWrap w:val="0"/>
            <w:vAlign w:val="center"/>
          </w:tcPr>
          <w:p w14:paraId="7D53150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5761D5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031509F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10B360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1211" w:type="dxa"/>
            <w:vMerge w:val="continue"/>
            <w:noWrap w:val="0"/>
            <w:vAlign w:val="center"/>
          </w:tcPr>
          <w:p w14:paraId="18AA369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249D041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食品处理区墙壁采用无毒、无异味、</w:t>
            </w:r>
            <w:r>
              <w:rPr>
                <w:rFonts w:hint="eastAsia" w:ascii="仿宋_GB2312" w:hAnsi="仿宋_GB2312" w:cs="仿宋_GB2312"/>
                <w:b w:val="0"/>
                <w:bCs/>
                <w:color w:val="auto"/>
                <w:sz w:val="24"/>
                <w:szCs w:val="24"/>
                <w:lang w:val="zh-CN"/>
              </w:rPr>
              <w:t>不透水、防毒、</w:t>
            </w:r>
            <w:r>
              <w:rPr>
                <w:rFonts w:hint="eastAsia" w:ascii="仿宋_GB2312" w:hAnsi="仿宋_GB2312" w:eastAsia="仿宋_GB2312" w:cs="仿宋_GB2312"/>
                <w:b w:val="0"/>
                <w:bCs/>
                <w:color w:val="auto"/>
                <w:sz w:val="24"/>
                <w:szCs w:val="24"/>
                <w:lang w:val="zh-CN"/>
              </w:rPr>
              <w:t>不易</w:t>
            </w:r>
            <w:r>
              <w:rPr>
                <w:rFonts w:hint="eastAsia" w:ascii="仿宋_GB2312" w:hAnsi="仿宋_GB2312" w:cs="仿宋_GB2312"/>
                <w:b w:val="0"/>
                <w:bCs/>
                <w:color w:val="auto"/>
                <w:sz w:val="24"/>
                <w:szCs w:val="24"/>
                <w:lang w:val="zh-CN"/>
              </w:rPr>
              <w:t>脱落</w:t>
            </w:r>
            <w:r>
              <w:rPr>
                <w:rFonts w:hint="eastAsia" w:ascii="仿宋_GB2312" w:hAnsi="仿宋_GB2312" w:eastAsia="仿宋_GB2312" w:cs="仿宋_GB2312"/>
                <w:b w:val="0"/>
                <w:bCs/>
                <w:color w:val="auto"/>
                <w:sz w:val="24"/>
                <w:szCs w:val="24"/>
                <w:lang w:val="zh-CN"/>
              </w:rPr>
              <w:t>、易清洗的材料制成</w:t>
            </w:r>
            <w:r>
              <w:rPr>
                <w:rFonts w:hint="eastAsia" w:ascii="仿宋_GB2312" w:hAnsi="仿宋_GB2312" w:eastAsia="仿宋_GB2312" w:cs="仿宋_GB2312"/>
                <w:b w:val="0"/>
                <w:bCs/>
                <w:color w:val="auto"/>
                <w:sz w:val="24"/>
                <w:szCs w:val="24"/>
              </w:rPr>
              <w:t>。</w:t>
            </w:r>
            <w:r>
              <w:rPr>
                <w:rFonts w:hint="eastAsia" w:ascii="仿宋_GB2312" w:hAnsi="仿宋_GB2312" w:cs="仿宋_GB2312"/>
                <w:b w:val="0"/>
                <w:bCs/>
                <w:color w:val="auto"/>
                <w:sz w:val="24"/>
                <w:szCs w:val="24"/>
                <w:lang w:eastAsia="zh-CN"/>
              </w:rPr>
              <w:t>初加工</w:t>
            </w:r>
            <w:r>
              <w:rPr>
                <w:rFonts w:hint="eastAsia" w:ascii="仿宋_GB2312" w:hAnsi="仿宋_GB2312" w:eastAsia="仿宋_GB2312" w:cs="仿宋_GB2312"/>
                <w:b w:val="0"/>
                <w:bCs/>
                <w:color w:val="auto"/>
                <w:sz w:val="24"/>
                <w:szCs w:val="24"/>
              </w:rPr>
              <w:t>、切配、餐用具清洗消毒和烹饪场所有1.5m以上</w:t>
            </w:r>
            <w:r>
              <w:rPr>
                <w:rFonts w:hint="eastAsia" w:ascii="仿宋_GB2312" w:hAnsi="仿宋_GB2312" w:cs="仿宋_GB2312"/>
                <w:b w:val="0"/>
                <w:bCs/>
                <w:color w:val="auto"/>
                <w:sz w:val="24"/>
                <w:szCs w:val="24"/>
                <w:lang w:eastAsia="zh-CN"/>
              </w:rPr>
              <w:t>浅色、</w:t>
            </w:r>
            <w:r>
              <w:rPr>
                <w:rFonts w:hint="eastAsia" w:ascii="仿宋_GB2312" w:hAnsi="仿宋_GB2312" w:eastAsia="仿宋_GB2312" w:cs="仿宋_GB2312"/>
                <w:b w:val="0"/>
                <w:bCs/>
                <w:color w:val="auto"/>
                <w:sz w:val="24"/>
                <w:szCs w:val="24"/>
              </w:rPr>
              <w:t>易清洗材料制成的</w:t>
            </w:r>
            <w:r>
              <w:rPr>
                <w:rFonts w:hint="eastAsia" w:ascii="仿宋_GB2312" w:hAnsi="仿宋_GB2312" w:eastAsia="仿宋_GB2312" w:cs="仿宋_GB2312"/>
                <w:b w:val="0"/>
                <w:bCs/>
                <w:color w:val="auto"/>
                <w:sz w:val="24"/>
                <w:szCs w:val="24"/>
                <w:lang w:val="zh-CN"/>
              </w:rPr>
              <w:t>墙裙。</w:t>
            </w:r>
          </w:p>
        </w:tc>
        <w:tc>
          <w:tcPr>
            <w:tcW w:w="555" w:type="dxa"/>
            <w:noWrap w:val="0"/>
            <w:vAlign w:val="center"/>
          </w:tcPr>
          <w:p w14:paraId="60C2A35C">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5</w:t>
            </w:r>
          </w:p>
        </w:tc>
        <w:tc>
          <w:tcPr>
            <w:tcW w:w="555" w:type="dxa"/>
            <w:noWrap w:val="0"/>
            <w:vAlign w:val="center"/>
          </w:tcPr>
          <w:p w14:paraId="473D729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0C8899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A7E2A0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C00CA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211" w:type="dxa"/>
            <w:vMerge w:val="continue"/>
            <w:noWrap w:val="0"/>
            <w:vAlign w:val="center"/>
          </w:tcPr>
          <w:p w14:paraId="0A15398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7207DBB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zh-CN"/>
              </w:rPr>
              <w:t>食品处理区的</w:t>
            </w:r>
            <w:r>
              <w:rPr>
                <w:rFonts w:hint="eastAsia" w:ascii="仿宋_GB2312" w:hAnsi="仿宋_GB2312" w:eastAsia="仿宋_GB2312" w:cs="仿宋_GB2312"/>
                <w:b w:val="0"/>
                <w:bCs/>
                <w:color w:val="auto"/>
                <w:sz w:val="24"/>
                <w:szCs w:val="24"/>
                <w:lang w:val="zh-CN"/>
              </w:rPr>
              <w:t>门、窗采用易清洗、不吸水材料制作，能闭合严密</w:t>
            </w:r>
            <w:r>
              <w:rPr>
                <w:rFonts w:hint="eastAsia" w:ascii="仿宋_GB2312" w:hAnsi="仿宋_GB2312" w:cs="仿宋_GB2312"/>
                <w:b w:val="0"/>
                <w:bCs/>
                <w:color w:val="auto"/>
                <w:sz w:val="24"/>
                <w:szCs w:val="24"/>
                <w:lang w:val="zh-CN"/>
              </w:rPr>
              <w:t>，需经常冲洗的门表面不易积垢</w:t>
            </w:r>
            <w:r>
              <w:rPr>
                <w:rFonts w:hint="eastAsia" w:ascii="仿宋_GB2312" w:hAnsi="仿宋_GB2312" w:eastAsia="仿宋_GB2312" w:cs="仿宋_GB2312"/>
                <w:b w:val="0"/>
                <w:bCs/>
                <w:color w:val="auto"/>
                <w:sz w:val="24"/>
                <w:szCs w:val="24"/>
                <w:lang w:val="zh-CN"/>
              </w:rPr>
              <w:t>。</w:t>
            </w:r>
            <w:r>
              <w:rPr>
                <w:rFonts w:hint="eastAsia" w:ascii="仿宋_GB2312" w:hAnsi="仿宋_GB2312" w:eastAsia="仿宋_GB2312" w:cs="仿宋_GB2312"/>
                <w:b w:val="0"/>
                <w:bCs/>
                <w:color w:val="auto"/>
                <w:sz w:val="24"/>
                <w:szCs w:val="24"/>
              </w:rPr>
              <w:t>餐饮服务场所有有效防蝇、防虫、防鼠设施</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与外界相通的通风口、换气窗外应加装不小于16目的防虫筛网。</w:t>
            </w:r>
          </w:p>
        </w:tc>
        <w:tc>
          <w:tcPr>
            <w:tcW w:w="555" w:type="dxa"/>
            <w:noWrap w:val="0"/>
            <w:vAlign w:val="center"/>
          </w:tcPr>
          <w:p w14:paraId="0F743F22">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6</w:t>
            </w:r>
          </w:p>
        </w:tc>
        <w:tc>
          <w:tcPr>
            <w:tcW w:w="555" w:type="dxa"/>
            <w:noWrap w:val="0"/>
            <w:vAlign w:val="center"/>
          </w:tcPr>
          <w:p w14:paraId="0C11DEC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07C1CC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3DBB7DD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D6842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211" w:type="dxa"/>
            <w:vMerge w:val="continue"/>
            <w:noWrap w:val="0"/>
            <w:vAlign w:val="center"/>
          </w:tcPr>
          <w:p w14:paraId="4390090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76B23F8">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zh-CN" w:eastAsia="zh-CN"/>
              </w:rPr>
              <w:t>经营场所</w:t>
            </w:r>
            <w:r>
              <w:rPr>
                <w:rFonts w:hint="eastAsia" w:ascii="仿宋_GB2312" w:hAnsi="仿宋_GB2312" w:cs="仿宋_GB2312"/>
                <w:b w:val="0"/>
                <w:bCs/>
                <w:color w:val="auto"/>
                <w:sz w:val="24"/>
                <w:szCs w:val="24"/>
                <w:lang w:val="zh-CN"/>
              </w:rPr>
              <w:t>天花板</w:t>
            </w:r>
            <w:r>
              <w:rPr>
                <w:rFonts w:hint="eastAsia" w:ascii="仿宋_GB2312" w:hAnsi="仿宋_GB2312" w:cs="仿宋_GB2312"/>
                <w:b w:val="0"/>
                <w:bCs/>
                <w:color w:val="auto"/>
                <w:sz w:val="24"/>
                <w:szCs w:val="24"/>
                <w:lang w:val="zh-CN" w:eastAsia="zh-CN"/>
              </w:rPr>
              <w:t>应</w:t>
            </w:r>
            <w:r>
              <w:rPr>
                <w:rFonts w:hint="eastAsia" w:ascii="仿宋_GB2312" w:hAnsi="仿宋_GB2312" w:cs="仿宋_GB2312"/>
                <w:b w:val="0"/>
                <w:bCs/>
                <w:color w:val="auto"/>
                <w:sz w:val="24"/>
                <w:szCs w:val="24"/>
                <w:lang w:val="zh-CN"/>
              </w:rPr>
              <w:t>无毒、无异味</w:t>
            </w:r>
            <w:r>
              <w:rPr>
                <w:rFonts w:hint="eastAsia" w:ascii="仿宋_GB2312" w:hAnsi="仿宋_GB2312" w:cs="仿宋_GB2312"/>
                <w:b w:val="0"/>
                <w:bCs/>
                <w:color w:val="auto"/>
                <w:sz w:val="24"/>
                <w:szCs w:val="24"/>
                <w:lang w:val="zh-CN" w:eastAsia="zh-CN"/>
              </w:rPr>
              <w:t>、无裂缝、防霉、不易脱落、易于清洁、</w:t>
            </w:r>
            <w:r>
              <w:rPr>
                <w:rFonts w:hint="eastAsia" w:ascii="仿宋_GB2312" w:hAnsi="仿宋_GB2312" w:cs="仿宋_GB2312"/>
                <w:b w:val="0"/>
                <w:bCs/>
                <w:color w:val="auto"/>
                <w:sz w:val="24"/>
                <w:szCs w:val="24"/>
                <w:lang w:val="zh-CN"/>
              </w:rPr>
              <w:t>防</w:t>
            </w:r>
            <w:r>
              <w:rPr>
                <w:rFonts w:hint="eastAsia" w:ascii="仿宋_GB2312" w:hAnsi="仿宋_GB2312" w:cs="仿宋_GB2312"/>
                <w:b w:val="0"/>
                <w:bCs/>
                <w:color w:val="auto"/>
                <w:sz w:val="24"/>
                <w:szCs w:val="24"/>
                <w:lang w:val="zh-CN" w:eastAsia="zh-CN"/>
              </w:rPr>
              <w:t>止老鼠等有害生物掉落。食品烹饪、食品冷却、餐用具清洗消毒等区域天花板应不吸水、耐高温、耐腐蚀。食品半成品、成品和清洁的餐用具暴露区域上方的天花板应能避免灰尘散落，在结构上不利于冷凝水垂直下落。水蒸汽较多区域天花板有适当坡度</w:t>
            </w:r>
            <w:r>
              <w:rPr>
                <w:rFonts w:hint="eastAsia" w:ascii="仿宋_GB2312" w:hAnsi="仿宋_GB2312" w:cs="仿宋_GB2312"/>
                <w:b w:val="0"/>
                <w:bCs/>
                <w:color w:val="auto"/>
                <w:sz w:val="24"/>
                <w:szCs w:val="24"/>
                <w:lang w:val="zh-CN"/>
              </w:rPr>
              <w:t>。</w:t>
            </w:r>
          </w:p>
        </w:tc>
        <w:tc>
          <w:tcPr>
            <w:tcW w:w="555" w:type="dxa"/>
            <w:noWrap w:val="0"/>
            <w:vAlign w:val="center"/>
          </w:tcPr>
          <w:p w14:paraId="05D72775">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7</w:t>
            </w:r>
          </w:p>
        </w:tc>
        <w:tc>
          <w:tcPr>
            <w:tcW w:w="555" w:type="dxa"/>
            <w:noWrap w:val="0"/>
            <w:vAlign w:val="center"/>
          </w:tcPr>
          <w:p w14:paraId="0B508CC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D2A3F2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39B9DF0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6148E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0" w:hRule="atLeast"/>
          <w:jc w:val="center"/>
        </w:trPr>
        <w:tc>
          <w:tcPr>
            <w:tcW w:w="1211" w:type="dxa"/>
            <w:vMerge w:val="continue"/>
            <w:noWrap w:val="0"/>
            <w:vAlign w:val="center"/>
          </w:tcPr>
          <w:p w14:paraId="5461113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737D83E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餐馆初加工操作场所面积≥食品处理区面积15%，全部用半成品烹饪的可适当减少。</w:t>
            </w:r>
          </w:p>
          <w:p w14:paraId="6579047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集中用餐</w:t>
            </w:r>
            <w:r>
              <w:rPr>
                <w:rFonts w:hint="eastAsia" w:ascii="仿宋_GB2312" w:hAnsi="仿宋_GB2312" w:eastAsia="仿宋_GB2312" w:cs="仿宋_GB2312"/>
                <w:b w:val="0"/>
                <w:bCs/>
                <w:color w:val="auto"/>
                <w:sz w:val="24"/>
                <w:szCs w:val="24"/>
              </w:rPr>
              <w:t>单位食堂食品处理区的面积不得小于30㎡，集中用餐单位食堂就餐人数人均食品处理区面积不小于0.2㎡。经核查，食品处理区的面积</w:t>
            </w:r>
            <w:r>
              <w:rPr>
                <w:rFonts w:hint="eastAsia" w:ascii="仿宋_GB2312" w:hAnsi="仿宋_GB2312" w:eastAsia="仿宋_GB2312" w:cs="仿宋_GB2312"/>
                <w:b w:val="0"/>
                <w:bCs/>
                <w:color w:val="auto"/>
                <w:sz w:val="24"/>
                <w:szCs w:val="24"/>
                <w:lang w:eastAsia="zh-CN"/>
              </w:rPr>
              <w:t>为：</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最大</w:t>
            </w:r>
            <w:r>
              <w:rPr>
                <w:rFonts w:hint="eastAsia" w:ascii="仿宋_GB2312" w:hAnsi="仿宋_GB2312" w:eastAsia="仿宋_GB2312" w:cs="仿宋_GB2312"/>
                <w:b w:val="0"/>
                <w:bCs/>
                <w:color w:val="auto"/>
                <w:sz w:val="24"/>
                <w:szCs w:val="24"/>
                <w:lang w:eastAsia="zh-CN"/>
              </w:rPr>
              <w:t>就</w:t>
            </w:r>
            <w:r>
              <w:rPr>
                <w:rFonts w:hint="eastAsia" w:ascii="仿宋_GB2312" w:hAnsi="仿宋_GB2312" w:eastAsia="仿宋_GB2312" w:cs="仿宋_GB2312"/>
                <w:b w:val="0"/>
                <w:bCs/>
                <w:color w:val="auto"/>
                <w:sz w:val="24"/>
                <w:szCs w:val="24"/>
              </w:rPr>
              <w:t>餐人数为：       。</w:t>
            </w:r>
          </w:p>
          <w:p w14:paraId="1C1AADC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中央厨房和集体用餐配送</w:t>
            </w:r>
            <w:r>
              <w:rPr>
                <w:rFonts w:hint="eastAsia" w:ascii="仿宋_GB2312" w:hAnsi="仿宋_GB2312" w:eastAsia="仿宋_GB2312" w:cs="仿宋_GB2312"/>
                <w:b w:val="0"/>
                <w:bCs/>
                <w:color w:val="auto"/>
                <w:sz w:val="24"/>
                <w:szCs w:val="24"/>
                <w:lang w:val="zh-CN"/>
              </w:rPr>
              <w:t>食品加工操作和贮存场所面积与加工食品的品种和数量相适应，食品处理区面积</w:t>
            </w:r>
            <w:r>
              <w:rPr>
                <w:rFonts w:hint="eastAsia" w:ascii="仿宋_GB2312" w:hAnsi="仿宋_GB2312" w:eastAsia="仿宋_GB2312" w:cs="仿宋_GB2312"/>
                <w:b w:val="0"/>
                <w:bCs/>
                <w:color w:val="auto"/>
                <w:sz w:val="24"/>
                <w:szCs w:val="24"/>
              </w:rPr>
              <w:t>≥300㎡。</w:t>
            </w:r>
          </w:p>
          <w:p w14:paraId="698BC915">
            <w:pPr>
              <w:pageBreakBefore w:val="0"/>
              <w:widowControl w:val="0"/>
              <w:kinsoku/>
              <w:wordWrap/>
              <w:overflowPunct/>
              <w:topLinePunct w:val="0"/>
              <w:autoSpaceDE/>
              <w:autoSpaceDN/>
              <w:bidi w:val="0"/>
              <w:adjustRightInd/>
              <w:snapToGrid w:val="0"/>
              <w:spacing w:line="300" w:lineRule="exact"/>
              <w:textAlignment w:val="auto"/>
              <w:rPr>
                <w:rFonts w:hint="eastAsia"/>
                <w:lang w:val="zh-CN"/>
              </w:rPr>
            </w:pPr>
            <w:r>
              <w:rPr>
                <w:rFonts w:hint="eastAsia" w:ascii="仿宋_GB2312" w:hAnsi="仿宋_GB2312" w:eastAsia="仿宋_GB2312" w:cs="仿宋_GB2312"/>
                <w:b w:val="0"/>
                <w:bCs/>
                <w:color w:val="auto"/>
                <w:sz w:val="24"/>
                <w:szCs w:val="24"/>
              </w:rPr>
              <w:t>集中用餐配送单位食品</w:t>
            </w:r>
            <w:r>
              <w:rPr>
                <w:rFonts w:hint="eastAsia" w:ascii="仿宋_GB2312" w:hAnsi="仿宋_GB2312" w:eastAsia="仿宋_GB2312" w:cs="仿宋_GB2312"/>
                <w:b w:val="0"/>
                <w:bCs/>
                <w:color w:val="auto"/>
                <w:sz w:val="24"/>
                <w:szCs w:val="24"/>
                <w:lang w:eastAsia="zh-CN"/>
              </w:rPr>
              <w:t>处理区</w:t>
            </w:r>
            <w:r>
              <w:rPr>
                <w:rFonts w:hint="eastAsia" w:ascii="仿宋_GB2312" w:hAnsi="仿宋_GB2312" w:eastAsia="仿宋_GB2312" w:cs="仿宋_GB2312"/>
                <w:b w:val="0"/>
                <w:bCs/>
                <w:color w:val="auto"/>
                <w:sz w:val="24"/>
                <w:szCs w:val="24"/>
              </w:rPr>
              <w:t>面积小于400㎡的，面积与单</w:t>
            </w:r>
            <w:r>
              <w:rPr>
                <w:rFonts w:hint="eastAsia" w:ascii="仿宋_GB2312" w:hAnsi="仿宋_GB2312" w:eastAsia="仿宋_GB2312" w:cs="仿宋_GB2312"/>
                <w:b w:val="0"/>
                <w:bCs/>
                <w:color w:val="auto"/>
                <w:sz w:val="24"/>
                <w:szCs w:val="24"/>
                <w:lang w:eastAsia="zh-CN"/>
              </w:rPr>
              <w:t>次</w:t>
            </w:r>
            <w:r>
              <w:rPr>
                <w:rFonts w:hint="eastAsia" w:ascii="仿宋_GB2312" w:hAnsi="仿宋_GB2312" w:eastAsia="仿宋_GB2312" w:cs="仿宋_GB2312"/>
                <w:b w:val="0"/>
                <w:bCs/>
                <w:color w:val="auto"/>
                <w:sz w:val="24"/>
                <w:szCs w:val="24"/>
              </w:rPr>
              <w:t>最大加工份数之比为1:2.5；面积400—800㎡，面积与单次最大加工份数之比为1:4；面积大于800㎡的，其面积与单次最大加工份数之比</w:t>
            </w:r>
            <w:r>
              <w:rPr>
                <w:rFonts w:hint="eastAsia" w:ascii="仿宋_GB2312" w:hAnsi="仿宋_GB2312" w:eastAsia="仿宋_GB2312" w:cs="仿宋_GB2312"/>
                <w:b w:val="0"/>
                <w:bCs/>
                <w:color w:val="auto"/>
                <w:sz w:val="24"/>
                <w:szCs w:val="24"/>
                <w:lang w:eastAsia="zh-CN"/>
              </w:rPr>
              <w:t>为</w:t>
            </w:r>
            <w:r>
              <w:rPr>
                <w:rFonts w:hint="eastAsia" w:ascii="仿宋_GB2312" w:hAnsi="仿宋_GB2312" w:eastAsia="仿宋_GB2312" w:cs="仿宋_GB2312"/>
                <w:b w:val="0"/>
                <w:bCs/>
                <w:color w:val="auto"/>
                <w:sz w:val="24"/>
                <w:szCs w:val="24"/>
                <w:lang w:val="en-US" w:eastAsia="zh-CN"/>
              </w:rPr>
              <w:t>1：5</w:t>
            </w:r>
            <w:r>
              <w:rPr>
                <w:rFonts w:hint="eastAsia" w:ascii="仿宋_GB2312" w:hAnsi="仿宋_GB2312" w:eastAsia="仿宋_GB2312" w:cs="仿宋_GB2312"/>
                <w:b w:val="0"/>
                <w:bCs/>
                <w:color w:val="auto"/>
                <w:sz w:val="24"/>
                <w:szCs w:val="24"/>
                <w:lang w:val="zh-CN"/>
              </w:rPr>
              <w:t>。面积大于1500㎡，其面积与单</w:t>
            </w:r>
            <w:r>
              <w:rPr>
                <w:rFonts w:hint="eastAsia" w:ascii="仿宋_GB2312" w:hAnsi="仿宋_GB2312" w:eastAsia="仿宋_GB2312" w:cs="仿宋_GB2312"/>
                <w:b w:val="0"/>
                <w:bCs/>
                <w:color w:val="auto"/>
                <w:sz w:val="24"/>
                <w:szCs w:val="24"/>
                <w:lang w:val="zh-CN" w:eastAsia="zh-CN"/>
              </w:rPr>
              <w:t>次</w:t>
            </w:r>
            <w:r>
              <w:rPr>
                <w:rFonts w:hint="eastAsia" w:ascii="仿宋_GB2312" w:hAnsi="仿宋_GB2312" w:eastAsia="仿宋_GB2312" w:cs="仿宋_GB2312"/>
                <w:b w:val="0"/>
                <w:bCs/>
                <w:color w:val="auto"/>
                <w:sz w:val="24"/>
                <w:szCs w:val="24"/>
                <w:lang w:val="zh-CN"/>
              </w:rPr>
              <w:t>最大</w:t>
            </w:r>
            <w:r>
              <w:rPr>
                <w:rFonts w:hint="eastAsia" w:ascii="仿宋_GB2312" w:hAnsi="仿宋_GB2312" w:eastAsia="仿宋_GB2312" w:cs="仿宋_GB2312"/>
                <w:b w:val="0"/>
                <w:bCs/>
                <w:color w:val="auto"/>
                <w:sz w:val="24"/>
                <w:szCs w:val="24"/>
                <w:lang w:val="zh-CN" w:eastAsia="zh-CN"/>
              </w:rPr>
              <w:t>加工</w:t>
            </w:r>
            <w:r>
              <w:rPr>
                <w:rFonts w:hint="eastAsia" w:ascii="仿宋_GB2312" w:hAnsi="仿宋_GB2312" w:eastAsia="仿宋_GB2312" w:cs="仿宋_GB2312"/>
                <w:b w:val="0"/>
                <w:bCs/>
                <w:color w:val="auto"/>
                <w:sz w:val="24"/>
                <w:szCs w:val="24"/>
                <w:lang w:val="zh-CN"/>
              </w:rPr>
              <w:t>份数之比为1:6</w:t>
            </w:r>
            <w:r>
              <w:rPr>
                <w:rFonts w:hint="eastAsia" w:ascii="仿宋_GB2312" w:hAnsi="仿宋_GB2312" w:eastAsia="仿宋_GB2312" w:cs="仿宋_GB2312"/>
                <w:b w:val="0"/>
                <w:bCs/>
                <w:color w:val="auto"/>
                <w:sz w:val="24"/>
                <w:szCs w:val="24"/>
                <w:lang w:val="zh-CN" w:eastAsia="zh-CN"/>
              </w:rPr>
              <w:t>，食品加工自动化程度较高</w:t>
            </w:r>
            <w:r>
              <w:rPr>
                <w:rFonts w:hint="eastAsia" w:ascii="仿宋_GB2312" w:hAnsi="仿宋_GB2312" w:eastAsia="仿宋_GB2312" w:cs="仿宋_GB2312"/>
                <w:b w:val="0"/>
                <w:bCs/>
                <w:color w:val="auto"/>
                <w:sz w:val="24"/>
                <w:szCs w:val="24"/>
                <w:lang w:eastAsia="zh-CN"/>
              </w:rPr>
              <w:t>的，可以适当放宽份数之比。</w:t>
            </w:r>
            <w:r>
              <w:rPr>
                <w:rFonts w:hint="eastAsia" w:ascii="仿宋_GB2312" w:hAnsi="仿宋_GB2312" w:eastAsia="仿宋_GB2312" w:cs="仿宋_GB2312"/>
                <w:b w:val="0"/>
                <w:bCs/>
                <w:color w:val="auto"/>
                <w:sz w:val="24"/>
                <w:szCs w:val="24"/>
              </w:rPr>
              <w:t>经核查，食品</w:t>
            </w:r>
            <w:r>
              <w:rPr>
                <w:rFonts w:hint="eastAsia" w:ascii="仿宋_GB2312" w:hAnsi="仿宋_GB2312" w:eastAsia="仿宋_GB2312" w:cs="仿宋_GB2312"/>
                <w:b w:val="0"/>
                <w:bCs/>
                <w:color w:val="auto"/>
                <w:sz w:val="24"/>
                <w:szCs w:val="24"/>
                <w:lang w:eastAsia="zh-CN"/>
              </w:rPr>
              <w:t>处理区</w:t>
            </w:r>
            <w:r>
              <w:rPr>
                <w:rFonts w:hint="eastAsia" w:ascii="仿宋_GB2312" w:hAnsi="仿宋_GB2312" w:eastAsia="仿宋_GB2312" w:cs="仿宋_GB2312"/>
                <w:b w:val="0"/>
                <w:bCs/>
                <w:color w:val="auto"/>
                <w:sz w:val="24"/>
                <w:szCs w:val="24"/>
              </w:rPr>
              <w:t>面积</w:t>
            </w:r>
            <w:r>
              <w:rPr>
                <w:rFonts w:hint="eastAsia" w:ascii="仿宋_GB2312" w:hAnsi="仿宋_GB2312" w:eastAsia="仿宋_GB2312" w:cs="仿宋_GB2312"/>
                <w:b w:val="0"/>
                <w:bCs/>
                <w:color w:val="auto"/>
                <w:sz w:val="24"/>
                <w:szCs w:val="24"/>
                <w:lang w:eastAsia="zh-CN"/>
              </w:rPr>
              <w:t>为：</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单次最大供餐人数为：       。</w:t>
            </w:r>
          </w:p>
        </w:tc>
        <w:tc>
          <w:tcPr>
            <w:tcW w:w="555" w:type="dxa"/>
            <w:noWrap w:val="0"/>
            <w:vAlign w:val="center"/>
          </w:tcPr>
          <w:p w14:paraId="26649CE2">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8</w:t>
            </w:r>
          </w:p>
        </w:tc>
        <w:tc>
          <w:tcPr>
            <w:tcW w:w="555" w:type="dxa"/>
            <w:noWrap w:val="0"/>
            <w:vAlign w:val="center"/>
          </w:tcPr>
          <w:p w14:paraId="09611A4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2408F0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12BDB1F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752C6D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211" w:type="dxa"/>
            <w:vMerge w:val="continue"/>
            <w:noWrap w:val="0"/>
            <w:vAlign w:val="center"/>
          </w:tcPr>
          <w:p w14:paraId="4BD9FE3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36295F1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cs="仿宋_GB2312"/>
                <w:b w:val="0"/>
                <w:bCs/>
                <w:color w:val="auto"/>
                <w:sz w:val="24"/>
                <w:szCs w:val="24"/>
                <w:lang w:val="zh-CN"/>
              </w:rPr>
              <w:t>初加工</w:t>
            </w:r>
            <w:r>
              <w:rPr>
                <w:rFonts w:hint="eastAsia" w:ascii="仿宋_GB2312" w:hAnsi="仿宋_GB2312" w:eastAsia="仿宋_GB2312" w:cs="仿宋_GB2312"/>
                <w:b w:val="0"/>
                <w:bCs/>
                <w:color w:val="auto"/>
                <w:sz w:val="24"/>
                <w:szCs w:val="24"/>
                <w:lang w:val="zh-CN"/>
              </w:rPr>
              <w:t>操作场所根据加工品种和规模相应分设动物性食品、植物性食品和水产类食品原料的清洗水池，有明显的区分标识。采用半成品烹饪的可相应减少水池的数量。</w:t>
            </w:r>
          </w:p>
          <w:p w14:paraId="7BADFC7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小型餐馆如使用盆、桶等容</w:t>
            </w:r>
            <w:r>
              <w:rPr>
                <w:rFonts w:hint="eastAsia" w:ascii="仿宋_GB2312" w:hAnsi="仿宋_GB2312" w:eastAsia="仿宋_GB2312" w:cs="仿宋_GB2312"/>
                <w:b w:val="0"/>
                <w:bCs/>
                <w:color w:val="auto"/>
                <w:sz w:val="24"/>
                <w:szCs w:val="24"/>
              </w:rPr>
              <w:t>器代替水池，应设固定的有给排水设施的操作台。</w:t>
            </w:r>
          </w:p>
        </w:tc>
        <w:tc>
          <w:tcPr>
            <w:tcW w:w="555" w:type="dxa"/>
            <w:noWrap w:val="0"/>
            <w:vAlign w:val="center"/>
          </w:tcPr>
          <w:p w14:paraId="27E7DD1D">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9</w:t>
            </w:r>
          </w:p>
        </w:tc>
        <w:tc>
          <w:tcPr>
            <w:tcW w:w="555" w:type="dxa"/>
            <w:noWrap w:val="0"/>
            <w:vAlign w:val="center"/>
          </w:tcPr>
          <w:p w14:paraId="2512F46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709DFFF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A94D7E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86649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211" w:type="dxa"/>
            <w:vMerge w:val="continue"/>
            <w:noWrap w:val="0"/>
            <w:vAlign w:val="center"/>
          </w:tcPr>
          <w:p w14:paraId="1E40449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06EE252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sz w:val="24"/>
                <w:szCs w:val="24"/>
                <w:lang w:eastAsia="zh-CN"/>
              </w:rPr>
              <w:t>食品处理区产生油烟的设备、工序上方，设</w:t>
            </w:r>
            <w:r>
              <w:rPr>
                <w:rFonts w:hint="eastAsia" w:ascii="仿宋_GB2312" w:hAnsi="仿宋_GB2312" w:eastAsia="仿宋_GB2312" w:cs="仿宋_GB2312"/>
                <w:b w:val="0"/>
                <w:bCs/>
                <w:color w:val="auto"/>
                <w:sz w:val="24"/>
                <w:szCs w:val="24"/>
              </w:rPr>
              <w:t>置机械排风、油烟过滤装置。</w:t>
            </w:r>
            <w:r>
              <w:rPr>
                <w:rFonts w:hint="eastAsia" w:ascii="仿宋_GB2312" w:hAnsi="仿宋_GB2312" w:cs="仿宋_GB2312"/>
                <w:b w:val="0"/>
                <w:bCs/>
                <w:color w:val="auto"/>
                <w:sz w:val="24"/>
                <w:szCs w:val="24"/>
                <w:lang w:eastAsia="zh-CN"/>
              </w:rPr>
              <w:t>产生大量蒸汽的设备、工序上方，设置机械排风排汽装置。</w:t>
            </w:r>
          </w:p>
        </w:tc>
        <w:tc>
          <w:tcPr>
            <w:tcW w:w="555" w:type="dxa"/>
            <w:noWrap w:val="0"/>
            <w:vAlign w:val="center"/>
          </w:tcPr>
          <w:p w14:paraId="304AC5A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sz w:val="24"/>
                <w:szCs w:val="24"/>
                <w:lang w:val="en-US" w:eastAsia="zh-CN"/>
              </w:rPr>
              <w:t>10</w:t>
            </w:r>
          </w:p>
        </w:tc>
        <w:tc>
          <w:tcPr>
            <w:tcW w:w="555" w:type="dxa"/>
            <w:noWrap w:val="0"/>
            <w:vAlign w:val="center"/>
          </w:tcPr>
          <w:p w14:paraId="13BD33E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95" w:type="dxa"/>
            <w:noWrap w:val="0"/>
            <w:vAlign w:val="center"/>
          </w:tcPr>
          <w:p w14:paraId="53235A1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16" w:type="dxa"/>
            <w:noWrap w:val="0"/>
            <w:vAlign w:val="center"/>
          </w:tcPr>
          <w:p w14:paraId="1FBE8F6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149474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211" w:type="dxa"/>
            <w:vMerge w:val="continue"/>
            <w:noWrap w:val="0"/>
            <w:vAlign w:val="center"/>
          </w:tcPr>
          <w:p w14:paraId="01BD692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388AE4C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加工经营场所光源不改变所观察食品的天然颜色。安装在暴露食品正上方的照明设施使用防护罩。</w:t>
            </w:r>
          </w:p>
        </w:tc>
        <w:tc>
          <w:tcPr>
            <w:tcW w:w="555" w:type="dxa"/>
            <w:noWrap w:val="0"/>
            <w:vAlign w:val="center"/>
          </w:tcPr>
          <w:p w14:paraId="614FFD34">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kern w:val="2"/>
                <w:sz w:val="24"/>
                <w:szCs w:val="24"/>
                <w:lang w:val="en-US" w:eastAsia="zh-CN" w:bidi="ar-SA"/>
              </w:rPr>
              <w:t>11</w:t>
            </w:r>
          </w:p>
        </w:tc>
        <w:tc>
          <w:tcPr>
            <w:tcW w:w="555" w:type="dxa"/>
            <w:noWrap w:val="0"/>
            <w:vAlign w:val="center"/>
          </w:tcPr>
          <w:p w14:paraId="2838257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95" w:type="dxa"/>
            <w:noWrap w:val="0"/>
            <w:vAlign w:val="center"/>
          </w:tcPr>
          <w:p w14:paraId="191EE0A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16" w:type="dxa"/>
            <w:noWrap w:val="0"/>
            <w:vAlign w:val="center"/>
          </w:tcPr>
          <w:p w14:paraId="4043BAA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1F41F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211" w:type="dxa"/>
            <w:vMerge w:val="restart"/>
            <w:noWrap w:val="0"/>
            <w:vAlign w:val="center"/>
          </w:tcPr>
          <w:p w14:paraId="3E03506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2.食品工用具及</w:t>
            </w:r>
            <w:r>
              <w:rPr>
                <w:rFonts w:hint="eastAsia" w:ascii="仿宋_GB2312" w:hAnsi="仿宋_GB2312" w:cs="仿宋_GB2312"/>
                <w:b w:val="0"/>
                <w:bCs/>
                <w:color w:val="auto"/>
                <w:sz w:val="24"/>
                <w:szCs w:val="24"/>
                <w:lang w:eastAsia="zh-CN"/>
              </w:rPr>
              <w:t>清洗、保洁设施</w:t>
            </w:r>
          </w:p>
        </w:tc>
        <w:tc>
          <w:tcPr>
            <w:tcW w:w="6034" w:type="dxa"/>
            <w:noWrap w:val="0"/>
            <w:vAlign w:val="center"/>
          </w:tcPr>
          <w:p w14:paraId="777B4E4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rPr>
              <w:t>食品处理区设置足够的洗手设施，附近配备洗手用品和干手设施。</w:t>
            </w:r>
          </w:p>
        </w:tc>
        <w:tc>
          <w:tcPr>
            <w:tcW w:w="555" w:type="dxa"/>
            <w:noWrap w:val="0"/>
            <w:vAlign w:val="center"/>
          </w:tcPr>
          <w:p w14:paraId="07F09E2B">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12</w:t>
            </w:r>
          </w:p>
        </w:tc>
        <w:tc>
          <w:tcPr>
            <w:tcW w:w="555" w:type="dxa"/>
            <w:noWrap w:val="0"/>
            <w:vAlign w:val="center"/>
          </w:tcPr>
          <w:p w14:paraId="02DCD29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B8A45F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715C909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EB6D6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11" w:type="dxa"/>
            <w:vMerge w:val="continue"/>
            <w:noWrap w:val="0"/>
            <w:vAlign w:val="center"/>
          </w:tcPr>
          <w:p w14:paraId="6958E52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7A4A88A4">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根据制作品种</w:t>
            </w:r>
            <w:r>
              <w:rPr>
                <w:rFonts w:hint="eastAsia" w:ascii="仿宋_GB2312" w:hAnsi="仿宋_GB2312" w:eastAsia="仿宋_GB2312" w:cs="仿宋_GB2312"/>
                <w:b w:val="0"/>
                <w:bCs/>
                <w:color w:val="auto"/>
                <w:sz w:val="24"/>
                <w:szCs w:val="24"/>
              </w:rPr>
              <w:t>分别设置</w:t>
            </w:r>
            <w:r>
              <w:rPr>
                <w:rFonts w:hint="eastAsia" w:ascii="仿宋_GB2312" w:hAnsi="仿宋_GB2312" w:cs="仿宋_GB2312"/>
                <w:b w:val="0"/>
                <w:bCs/>
                <w:color w:val="auto"/>
                <w:sz w:val="24"/>
                <w:szCs w:val="24"/>
                <w:lang w:eastAsia="zh-CN"/>
              </w:rPr>
              <w:t>动物性</w:t>
            </w:r>
            <w:r>
              <w:rPr>
                <w:rFonts w:hint="eastAsia" w:ascii="仿宋_GB2312" w:hAnsi="仿宋_GB2312" w:eastAsia="仿宋_GB2312" w:cs="仿宋_GB2312"/>
                <w:b w:val="0"/>
                <w:bCs/>
                <w:color w:val="auto"/>
                <w:sz w:val="24"/>
                <w:szCs w:val="24"/>
              </w:rPr>
              <w:t>食品原料</w:t>
            </w:r>
            <w:r>
              <w:rPr>
                <w:rFonts w:hint="eastAsia" w:ascii="仿宋_GB2312" w:hAnsi="仿宋_GB2312" w:cs="仿宋_GB2312"/>
                <w:b w:val="0"/>
                <w:bCs/>
                <w:color w:val="auto"/>
                <w:sz w:val="24"/>
                <w:szCs w:val="24"/>
                <w:lang w:eastAsia="zh-CN"/>
              </w:rPr>
              <w:t>、植物性食品原料、水产品原料</w:t>
            </w:r>
            <w:r>
              <w:rPr>
                <w:rFonts w:hint="eastAsia" w:ascii="仿宋_GB2312" w:hAnsi="仿宋_GB2312" w:eastAsia="仿宋_GB2312" w:cs="仿宋_GB2312"/>
                <w:b w:val="0"/>
                <w:bCs/>
                <w:color w:val="auto"/>
                <w:sz w:val="24"/>
                <w:szCs w:val="24"/>
              </w:rPr>
              <w:t>清洗水池</w:t>
            </w:r>
            <w:r>
              <w:rPr>
                <w:rFonts w:hint="eastAsia" w:ascii="仿宋_GB2312" w:hAnsi="仿宋_GB2312" w:cs="仿宋_GB2312"/>
                <w:b w:val="0"/>
                <w:bCs/>
                <w:color w:val="auto"/>
                <w:sz w:val="24"/>
                <w:szCs w:val="24"/>
                <w:lang w:eastAsia="zh-CN"/>
              </w:rPr>
              <w:t>及盛放容器、工用具，有</w:t>
            </w:r>
            <w:r>
              <w:rPr>
                <w:rFonts w:hint="eastAsia" w:ascii="仿宋_GB2312" w:hAnsi="仿宋_GB2312" w:eastAsia="仿宋_GB2312" w:cs="仿宋_GB2312"/>
                <w:b w:val="0"/>
                <w:bCs/>
                <w:color w:val="auto"/>
                <w:sz w:val="24"/>
                <w:szCs w:val="24"/>
              </w:rPr>
              <w:t>明显</w:t>
            </w:r>
            <w:r>
              <w:rPr>
                <w:rFonts w:hint="eastAsia" w:ascii="仿宋_GB2312" w:hAnsi="仿宋_GB2312" w:cs="仿宋_GB2312"/>
                <w:b w:val="0"/>
                <w:bCs/>
                <w:color w:val="auto"/>
                <w:sz w:val="24"/>
                <w:szCs w:val="24"/>
                <w:lang w:eastAsia="zh-CN"/>
              </w:rPr>
              <w:t>的区分</w:t>
            </w:r>
            <w:r>
              <w:rPr>
                <w:rFonts w:hint="eastAsia" w:ascii="仿宋_GB2312" w:hAnsi="仿宋_GB2312" w:eastAsia="仿宋_GB2312" w:cs="仿宋_GB2312"/>
                <w:b w:val="0"/>
                <w:bCs/>
                <w:color w:val="auto"/>
                <w:sz w:val="24"/>
                <w:szCs w:val="24"/>
              </w:rPr>
              <w:t>标识。</w:t>
            </w:r>
          </w:p>
        </w:tc>
        <w:tc>
          <w:tcPr>
            <w:tcW w:w="555" w:type="dxa"/>
            <w:noWrap w:val="0"/>
            <w:vAlign w:val="center"/>
          </w:tcPr>
          <w:p w14:paraId="6BF0252B">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13</w:t>
            </w:r>
          </w:p>
        </w:tc>
        <w:tc>
          <w:tcPr>
            <w:tcW w:w="555" w:type="dxa"/>
            <w:noWrap w:val="0"/>
            <w:vAlign w:val="center"/>
          </w:tcPr>
          <w:p w14:paraId="286393E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D8ED41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D1E30B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2340AE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211" w:type="dxa"/>
            <w:vMerge w:val="continue"/>
            <w:noWrap w:val="0"/>
            <w:vAlign w:val="center"/>
          </w:tcPr>
          <w:p w14:paraId="66BBCAC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A035F6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餐具和工用具清洗、消毒设施大小和数量能满足需要。采用化学消毒的，至少配备3个专用水池；采用人工清洗热力消毒的，至少设置2个专用水池。</w:t>
            </w:r>
          </w:p>
          <w:p w14:paraId="1BBAE85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学校食堂</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托幼机构</w:t>
            </w:r>
            <w:r>
              <w:rPr>
                <w:rFonts w:hint="eastAsia" w:ascii="仿宋_GB2312" w:hAnsi="仿宋_GB2312" w:cs="仿宋_GB2312"/>
                <w:b w:val="0"/>
                <w:bCs/>
                <w:color w:val="auto"/>
                <w:sz w:val="24"/>
                <w:szCs w:val="24"/>
                <w:lang w:eastAsia="zh-CN"/>
              </w:rPr>
              <w:t>食堂</w:t>
            </w:r>
            <w:r>
              <w:rPr>
                <w:rFonts w:hint="eastAsia" w:ascii="仿宋_GB2312" w:hAnsi="仿宋_GB2312" w:eastAsia="仿宋_GB2312" w:cs="仿宋_GB2312"/>
                <w:b w:val="0"/>
                <w:bCs/>
                <w:color w:val="auto"/>
                <w:sz w:val="24"/>
                <w:szCs w:val="24"/>
              </w:rPr>
              <w:t>、养老机构食堂等餐具消毒应采用热力消毒（因材质等原因无法采用的除外）。</w:t>
            </w:r>
          </w:p>
          <w:p w14:paraId="3C1F308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小型餐馆如使用盆、桶等容器代替水池，应设固定的有给排水设施的操作台。</w:t>
            </w:r>
          </w:p>
        </w:tc>
        <w:tc>
          <w:tcPr>
            <w:tcW w:w="555" w:type="dxa"/>
            <w:noWrap w:val="0"/>
            <w:vAlign w:val="center"/>
          </w:tcPr>
          <w:p w14:paraId="7057A155">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4</w:t>
            </w:r>
          </w:p>
        </w:tc>
        <w:tc>
          <w:tcPr>
            <w:tcW w:w="555" w:type="dxa"/>
            <w:noWrap w:val="0"/>
            <w:vAlign w:val="center"/>
          </w:tcPr>
          <w:p w14:paraId="2D53401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6861FBA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FA7D39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860F9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211" w:type="dxa"/>
            <w:vMerge w:val="continue"/>
            <w:noWrap w:val="0"/>
            <w:vAlign w:val="center"/>
          </w:tcPr>
          <w:p w14:paraId="5CF3D4D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2A57A6A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设专用于拖把等清洁工具、用具的清洗水池，其位置不会污染食品及其加工制作过程。</w:t>
            </w:r>
          </w:p>
        </w:tc>
        <w:tc>
          <w:tcPr>
            <w:tcW w:w="555" w:type="dxa"/>
            <w:noWrap w:val="0"/>
            <w:vAlign w:val="center"/>
          </w:tcPr>
          <w:p w14:paraId="60850A63">
            <w:pPr>
              <w:pageBreakBefore w:val="0"/>
              <w:widowControl w:val="0"/>
              <w:kinsoku/>
              <w:wordWrap/>
              <w:overflowPunct/>
              <w:topLinePunct w:val="0"/>
              <w:autoSpaceDE/>
              <w:autoSpaceDN/>
              <w:bidi w:val="0"/>
              <w:adjustRightInd/>
              <w:snapToGrid w:val="0"/>
              <w:spacing w:line="300" w:lineRule="exact"/>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w:t>
            </w:r>
            <w:r>
              <w:rPr>
                <w:rFonts w:hint="eastAsia" w:ascii="仿宋_GB2312" w:hAnsi="仿宋_GB2312" w:cs="仿宋_GB2312"/>
                <w:b w:val="0"/>
                <w:bCs/>
                <w:color w:val="auto"/>
                <w:sz w:val="24"/>
                <w:szCs w:val="24"/>
                <w:lang w:val="en-US" w:eastAsia="zh-CN"/>
              </w:rPr>
              <w:t>5</w:t>
            </w:r>
          </w:p>
        </w:tc>
        <w:tc>
          <w:tcPr>
            <w:tcW w:w="555" w:type="dxa"/>
            <w:noWrap w:val="0"/>
            <w:vAlign w:val="center"/>
          </w:tcPr>
          <w:p w14:paraId="144A056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7FB41A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1E08220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6D3F4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211" w:type="dxa"/>
            <w:vMerge w:val="continue"/>
            <w:noWrap w:val="0"/>
            <w:vAlign w:val="center"/>
          </w:tcPr>
          <w:p w14:paraId="08AD23A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0A2E7B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设专供存放消毒后餐用具的保洁设施，结构密闭并易于清洁，容量和数量应能满足加工制作和供餐需要。</w:t>
            </w:r>
          </w:p>
        </w:tc>
        <w:tc>
          <w:tcPr>
            <w:tcW w:w="555" w:type="dxa"/>
            <w:noWrap w:val="0"/>
            <w:vAlign w:val="center"/>
          </w:tcPr>
          <w:p w14:paraId="30B9ACB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6</w:t>
            </w:r>
          </w:p>
        </w:tc>
        <w:tc>
          <w:tcPr>
            <w:tcW w:w="555" w:type="dxa"/>
            <w:noWrap w:val="0"/>
            <w:vAlign w:val="center"/>
          </w:tcPr>
          <w:p w14:paraId="00158A6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9676F8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BF9FB7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BB40D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11" w:type="dxa"/>
            <w:vMerge w:val="continue"/>
            <w:noWrap w:val="0"/>
            <w:vAlign w:val="center"/>
          </w:tcPr>
          <w:p w14:paraId="4150C5E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09BC958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清洁工用具等存放设施与食品存放设施、餐具保洁存放设施有明显的区分标识。</w:t>
            </w:r>
          </w:p>
        </w:tc>
        <w:tc>
          <w:tcPr>
            <w:tcW w:w="555" w:type="dxa"/>
            <w:noWrap w:val="0"/>
            <w:vAlign w:val="center"/>
          </w:tcPr>
          <w:p w14:paraId="5BBF2E3C">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7</w:t>
            </w:r>
          </w:p>
        </w:tc>
        <w:tc>
          <w:tcPr>
            <w:tcW w:w="555" w:type="dxa"/>
            <w:noWrap w:val="0"/>
            <w:vAlign w:val="center"/>
          </w:tcPr>
          <w:p w14:paraId="1E4C36E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49B2156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B6D794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06915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11" w:type="dxa"/>
            <w:vMerge w:val="continue"/>
            <w:noWrap w:val="0"/>
            <w:vAlign w:val="center"/>
          </w:tcPr>
          <w:p w14:paraId="10C0319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60DDF99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原料、半成品、成品的容器、工用具设备，有明显的区分标识</w:t>
            </w:r>
            <w:r>
              <w:rPr>
                <w:rFonts w:hint="eastAsia" w:ascii="仿宋_GB2312" w:hAnsi="仿宋_GB2312" w:cs="仿宋_GB2312"/>
                <w:b w:val="0"/>
                <w:bCs/>
                <w:color w:val="auto"/>
                <w:sz w:val="24"/>
                <w:szCs w:val="24"/>
                <w:lang w:eastAsia="zh-CN"/>
              </w:rPr>
              <w:t>，能分开放置和使用</w:t>
            </w:r>
            <w:r>
              <w:rPr>
                <w:rFonts w:hint="eastAsia" w:ascii="仿宋_GB2312" w:hAnsi="仿宋_GB2312" w:eastAsia="仿宋_GB2312" w:cs="仿宋_GB2312"/>
                <w:b w:val="0"/>
                <w:bCs/>
                <w:color w:val="auto"/>
                <w:sz w:val="24"/>
                <w:szCs w:val="24"/>
              </w:rPr>
              <w:t>。</w:t>
            </w:r>
          </w:p>
        </w:tc>
        <w:tc>
          <w:tcPr>
            <w:tcW w:w="555" w:type="dxa"/>
            <w:noWrap w:val="0"/>
            <w:vAlign w:val="center"/>
          </w:tcPr>
          <w:p w14:paraId="516FAF0F">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18</w:t>
            </w:r>
          </w:p>
        </w:tc>
        <w:tc>
          <w:tcPr>
            <w:tcW w:w="555" w:type="dxa"/>
            <w:noWrap w:val="0"/>
            <w:vAlign w:val="center"/>
          </w:tcPr>
          <w:p w14:paraId="4601819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795E914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79E9A12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132DC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11" w:type="dxa"/>
            <w:vMerge w:val="continue"/>
            <w:noWrap w:val="0"/>
            <w:vAlign w:val="center"/>
          </w:tcPr>
          <w:p w14:paraId="6C75926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541DB4C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接触食品的设备、工具、容器、包装材料等符合食品安全标准或要求。</w:t>
            </w:r>
          </w:p>
        </w:tc>
        <w:tc>
          <w:tcPr>
            <w:tcW w:w="555" w:type="dxa"/>
            <w:noWrap w:val="0"/>
            <w:vAlign w:val="center"/>
          </w:tcPr>
          <w:p w14:paraId="383891F5">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19</w:t>
            </w:r>
          </w:p>
        </w:tc>
        <w:tc>
          <w:tcPr>
            <w:tcW w:w="555" w:type="dxa"/>
            <w:noWrap w:val="0"/>
            <w:vAlign w:val="center"/>
          </w:tcPr>
          <w:p w14:paraId="3E5C321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84BADA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1CFE732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2AB11E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211" w:type="dxa"/>
            <w:vMerge w:val="continue"/>
            <w:noWrap w:val="0"/>
            <w:vAlign w:val="center"/>
          </w:tcPr>
          <w:p w14:paraId="52269DA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6157C08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食品处理区设置非手动带盖的废弃物存放容器，废弃物容器与食品容器有明显区分的标识。</w:t>
            </w:r>
          </w:p>
        </w:tc>
        <w:tc>
          <w:tcPr>
            <w:tcW w:w="555" w:type="dxa"/>
            <w:noWrap w:val="0"/>
            <w:vAlign w:val="center"/>
          </w:tcPr>
          <w:p w14:paraId="793AB7B8">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20</w:t>
            </w:r>
          </w:p>
        </w:tc>
        <w:tc>
          <w:tcPr>
            <w:tcW w:w="555" w:type="dxa"/>
            <w:noWrap w:val="0"/>
            <w:vAlign w:val="center"/>
          </w:tcPr>
          <w:p w14:paraId="3E242C6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4CC3196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1C7E632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971C2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211" w:type="dxa"/>
            <w:vMerge w:val="restart"/>
            <w:noWrap w:val="0"/>
            <w:vAlign w:val="center"/>
          </w:tcPr>
          <w:p w14:paraId="22DAD8C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3.</w:t>
            </w:r>
            <w:r>
              <w:rPr>
                <w:rFonts w:hint="eastAsia" w:ascii="仿宋_GB2312" w:hAnsi="仿宋_GB2312" w:cs="仿宋_GB2312"/>
                <w:b w:val="0"/>
                <w:bCs/>
                <w:color w:val="auto"/>
                <w:sz w:val="24"/>
                <w:szCs w:val="24"/>
                <w:lang w:eastAsia="zh-CN"/>
              </w:rPr>
              <w:t>库房或贮存场所</w:t>
            </w:r>
          </w:p>
        </w:tc>
        <w:tc>
          <w:tcPr>
            <w:tcW w:w="6034" w:type="dxa"/>
            <w:noWrap w:val="0"/>
            <w:vAlign w:val="center"/>
          </w:tcPr>
          <w:p w14:paraId="76CAF95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库房的门装有防鼠设施（如设不低于60cm的防鼠板或木质门下方以金属包覆）。可以自动闭合的密闭非木质门，不需安装防鼠板。常温库房有良好的通风、防潮设施。</w:t>
            </w:r>
          </w:p>
        </w:tc>
        <w:tc>
          <w:tcPr>
            <w:tcW w:w="555" w:type="dxa"/>
            <w:noWrap w:val="0"/>
            <w:vAlign w:val="center"/>
          </w:tcPr>
          <w:p w14:paraId="14693080">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21</w:t>
            </w:r>
          </w:p>
        </w:tc>
        <w:tc>
          <w:tcPr>
            <w:tcW w:w="555" w:type="dxa"/>
            <w:noWrap w:val="0"/>
            <w:vAlign w:val="center"/>
          </w:tcPr>
          <w:p w14:paraId="585E700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43C5A35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B930C2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5D98B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211" w:type="dxa"/>
            <w:vMerge w:val="continue"/>
            <w:noWrap w:val="0"/>
            <w:vAlign w:val="center"/>
          </w:tcPr>
          <w:p w14:paraId="750D65F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C7D524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食品和非食品（不会导致食品污染的食品容器、包装材料、工具等除外）库房</w:t>
            </w:r>
            <w:r>
              <w:rPr>
                <w:rFonts w:hint="eastAsia" w:ascii="仿宋_GB2312" w:hAnsi="仿宋_GB2312" w:cs="仿宋_GB2312"/>
                <w:b w:val="0"/>
                <w:bCs/>
                <w:color w:val="auto"/>
                <w:sz w:val="24"/>
                <w:szCs w:val="24"/>
                <w:lang w:eastAsia="zh-CN"/>
              </w:rPr>
              <w:t>或贮存区域</w:t>
            </w:r>
            <w:r>
              <w:rPr>
                <w:rFonts w:hint="eastAsia" w:ascii="仿宋_GB2312" w:hAnsi="仿宋_GB2312" w:eastAsia="仿宋_GB2312" w:cs="仿宋_GB2312"/>
                <w:b w:val="0"/>
                <w:bCs/>
                <w:color w:val="auto"/>
                <w:sz w:val="24"/>
                <w:szCs w:val="24"/>
              </w:rPr>
              <w:t>分开设置。</w:t>
            </w:r>
          </w:p>
        </w:tc>
        <w:tc>
          <w:tcPr>
            <w:tcW w:w="555" w:type="dxa"/>
            <w:noWrap w:val="0"/>
            <w:vAlign w:val="center"/>
          </w:tcPr>
          <w:p w14:paraId="6CF13748">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22</w:t>
            </w:r>
          </w:p>
        </w:tc>
        <w:tc>
          <w:tcPr>
            <w:tcW w:w="555" w:type="dxa"/>
            <w:noWrap w:val="0"/>
            <w:vAlign w:val="center"/>
          </w:tcPr>
          <w:p w14:paraId="5D2642D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39AA65B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83C152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E5A21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1211" w:type="dxa"/>
            <w:vMerge w:val="continue"/>
            <w:noWrap w:val="0"/>
            <w:vAlign w:val="center"/>
          </w:tcPr>
          <w:p w14:paraId="18A07AD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8D9C79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冷藏、冷冻柜（库）数量和结构能使原料、半成品和成品分开存放。冷藏</w:t>
            </w:r>
            <w:r>
              <w:rPr>
                <w:rFonts w:hint="eastAsia" w:ascii="仿宋_GB2312" w:hAnsi="仿宋_GB2312" w:cs="仿宋_GB2312"/>
                <w:b w:val="0"/>
                <w:bCs/>
                <w:color w:val="auto"/>
                <w:sz w:val="24"/>
                <w:szCs w:val="24"/>
                <w:lang w:eastAsia="zh-CN"/>
              </w:rPr>
              <w:t>、冷</w:t>
            </w:r>
            <w:r>
              <w:rPr>
                <w:rFonts w:hint="eastAsia" w:ascii="仿宋_GB2312" w:hAnsi="仿宋_GB2312" w:eastAsia="仿宋_GB2312" w:cs="仿宋_GB2312"/>
                <w:b w:val="0"/>
                <w:bCs/>
                <w:color w:val="auto"/>
                <w:sz w:val="24"/>
                <w:szCs w:val="24"/>
              </w:rPr>
              <w:t>冻</w:t>
            </w:r>
            <w:r>
              <w:rPr>
                <w:rFonts w:hint="eastAsia" w:ascii="仿宋_GB2312" w:hAnsi="仿宋_GB2312" w:cs="仿宋_GB2312"/>
                <w:b w:val="0"/>
                <w:bCs/>
                <w:color w:val="auto"/>
                <w:sz w:val="24"/>
                <w:szCs w:val="24"/>
                <w:lang w:eastAsia="zh-CN"/>
              </w:rPr>
              <w:t>柜（</w:t>
            </w:r>
            <w:r>
              <w:rPr>
                <w:rFonts w:hint="eastAsia" w:ascii="仿宋_GB2312" w:hAnsi="仿宋_GB2312" w:eastAsia="仿宋_GB2312" w:cs="仿宋_GB2312"/>
                <w:b w:val="0"/>
                <w:bCs/>
                <w:color w:val="auto"/>
                <w:sz w:val="24"/>
                <w:szCs w:val="24"/>
              </w:rPr>
              <w:t>库</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设有可正确指示</w:t>
            </w:r>
            <w:r>
              <w:rPr>
                <w:rFonts w:hint="eastAsia" w:ascii="仿宋_GB2312" w:hAnsi="仿宋_GB2312" w:cs="仿宋_GB2312"/>
                <w:b w:val="0"/>
                <w:bCs/>
                <w:color w:val="auto"/>
                <w:sz w:val="24"/>
                <w:szCs w:val="24"/>
                <w:lang w:eastAsia="zh-CN"/>
              </w:rPr>
              <w:t>内部</w:t>
            </w:r>
            <w:r>
              <w:rPr>
                <w:rFonts w:hint="eastAsia" w:ascii="仿宋_GB2312" w:hAnsi="仿宋_GB2312" w:eastAsia="仿宋_GB2312" w:cs="仿宋_GB2312"/>
                <w:b w:val="0"/>
                <w:bCs/>
                <w:color w:val="auto"/>
                <w:sz w:val="24"/>
                <w:szCs w:val="24"/>
              </w:rPr>
              <w:t>温度的</w:t>
            </w:r>
            <w:r>
              <w:rPr>
                <w:rFonts w:hint="eastAsia" w:ascii="仿宋_GB2312" w:hAnsi="仿宋_GB2312" w:cs="仿宋_GB2312"/>
                <w:b w:val="0"/>
                <w:bCs/>
                <w:color w:val="auto"/>
                <w:sz w:val="24"/>
                <w:szCs w:val="24"/>
                <w:lang w:eastAsia="zh-CN"/>
              </w:rPr>
              <w:t>测温装置</w:t>
            </w:r>
            <w:r>
              <w:rPr>
                <w:rFonts w:hint="eastAsia" w:ascii="仿宋_GB2312" w:hAnsi="仿宋_GB2312" w:eastAsia="仿宋_GB2312" w:cs="仿宋_GB2312"/>
                <w:b w:val="0"/>
                <w:bCs/>
                <w:color w:val="auto"/>
                <w:sz w:val="24"/>
                <w:szCs w:val="24"/>
              </w:rPr>
              <w:t>。</w:t>
            </w:r>
          </w:p>
        </w:tc>
        <w:tc>
          <w:tcPr>
            <w:tcW w:w="555" w:type="dxa"/>
            <w:noWrap w:val="0"/>
            <w:vAlign w:val="center"/>
          </w:tcPr>
          <w:p w14:paraId="013203BD">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2</w:t>
            </w:r>
            <w:r>
              <w:rPr>
                <w:rFonts w:hint="eastAsia" w:ascii="仿宋_GB2312" w:hAnsi="仿宋_GB2312" w:cs="仿宋_GB2312"/>
                <w:b w:val="0"/>
                <w:bCs/>
                <w:color w:val="auto"/>
                <w:sz w:val="24"/>
                <w:szCs w:val="24"/>
                <w:lang w:val="en-US" w:eastAsia="zh-CN"/>
              </w:rPr>
              <w:t>3</w:t>
            </w:r>
          </w:p>
        </w:tc>
        <w:tc>
          <w:tcPr>
            <w:tcW w:w="555" w:type="dxa"/>
            <w:noWrap w:val="0"/>
            <w:vAlign w:val="center"/>
          </w:tcPr>
          <w:p w14:paraId="0A59583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B60AA4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11E002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17DD9D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211" w:type="dxa"/>
            <w:vMerge w:val="continue"/>
            <w:noWrap w:val="0"/>
            <w:vAlign w:val="center"/>
          </w:tcPr>
          <w:p w14:paraId="157E213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58F792B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贮存原料、半成品、成品、包装材料的，有分区并有明显的区分标识；</w:t>
            </w:r>
            <w:r>
              <w:rPr>
                <w:rFonts w:hint="eastAsia" w:ascii="仿宋_GB2312" w:hAnsi="仿宋_GB2312" w:eastAsia="仿宋_GB2312" w:cs="仿宋_GB2312"/>
                <w:b w:val="0"/>
                <w:bCs/>
                <w:color w:val="auto"/>
                <w:sz w:val="24"/>
                <w:szCs w:val="24"/>
              </w:rPr>
              <w:t>有足够数量的食品存放架（柜），确保食品分类、上架（进柜）存放。</w:t>
            </w:r>
          </w:p>
        </w:tc>
        <w:tc>
          <w:tcPr>
            <w:tcW w:w="555" w:type="dxa"/>
            <w:noWrap w:val="0"/>
            <w:vAlign w:val="center"/>
          </w:tcPr>
          <w:p w14:paraId="46B9B5FC">
            <w:pPr>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2</w:t>
            </w:r>
            <w:r>
              <w:rPr>
                <w:rFonts w:hint="eastAsia" w:ascii="仿宋_GB2312" w:hAnsi="仿宋_GB2312" w:cs="仿宋_GB2312"/>
                <w:b w:val="0"/>
                <w:bCs/>
                <w:color w:val="auto"/>
                <w:sz w:val="24"/>
                <w:szCs w:val="24"/>
                <w:lang w:val="en-US" w:eastAsia="zh-CN"/>
              </w:rPr>
              <w:t>4</w:t>
            </w:r>
          </w:p>
        </w:tc>
        <w:tc>
          <w:tcPr>
            <w:tcW w:w="555" w:type="dxa"/>
            <w:noWrap w:val="0"/>
            <w:vAlign w:val="center"/>
          </w:tcPr>
          <w:p w14:paraId="6629037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7272B5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32FD546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F3629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1211" w:type="dxa"/>
            <w:vMerge w:val="restart"/>
            <w:noWrap w:val="0"/>
            <w:vAlign w:val="center"/>
          </w:tcPr>
          <w:p w14:paraId="5C4D583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4.</w:t>
            </w:r>
            <w:r>
              <w:rPr>
                <w:rFonts w:hint="eastAsia" w:ascii="仿宋_GB2312" w:hAnsi="仿宋_GB2312" w:cs="仿宋_GB2312"/>
                <w:b w:val="0"/>
                <w:bCs/>
                <w:color w:val="auto"/>
                <w:sz w:val="24"/>
                <w:szCs w:val="24"/>
                <w:lang w:eastAsia="zh-CN"/>
              </w:rPr>
              <w:t>更衣区、卫生间设施</w:t>
            </w:r>
          </w:p>
        </w:tc>
        <w:tc>
          <w:tcPr>
            <w:tcW w:w="6034" w:type="dxa"/>
            <w:noWrap w:val="0"/>
            <w:vAlign w:val="center"/>
          </w:tcPr>
          <w:p w14:paraId="558B6AB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员工更衣区位于食品处理区附近，有与经营项目和经营规模相适应的空间和更衣、洗手设施</w:t>
            </w:r>
            <w:r>
              <w:rPr>
                <w:rFonts w:hint="eastAsia" w:ascii="仿宋_GB2312" w:hAnsi="仿宋_GB2312" w:eastAsia="仿宋_GB2312" w:cs="仿宋_GB2312"/>
                <w:b w:val="0"/>
                <w:bCs/>
                <w:color w:val="auto"/>
                <w:sz w:val="24"/>
                <w:szCs w:val="24"/>
                <w:lang w:val="zh-CN"/>
              </w:rPr>
              <w:t>。</w:t>
            </w:r>
            <w:r>
              <w:rPr>
                <w:rFonts w:hint="eastAsia" w:ascii="仿宋_GB2312" w:hAnsi="仿宋_GB2312" w:cs="仿宋_GB2312"/>
                <w:b w:val="0"/>
                <w:bCs/>
                <w:color w:val="auto"/>
                <w:sz w:val="24"/>
                <w:szCs w:val="24"/>
                <w:lang w:val="zh-CN"/>
              </w:rPr>
              <w:t>（适用于大</w:t>
            </w:r>
            <w:r>
              <w:rPr>
                <w:rFonts w:hint="eastAsia" w:ascii="仿宋_GB2312" w:hAnsi="仿宋_GB2312" w:eastAsia="仿宋_GB2312" w:cs="仿宋_GB2312"/>
                <w:b w:val="0"/>
                <w:bCs/>
                <w:color w:val="auto"/>
                <w:sz w:val="24"/>
                <w:szCs w:val="24"/>
                <w:lang w:val="zh-CN"/>
              </w:rPr>
              <w:t>型餐馆以及500人以</w:t>
            </w:r>
            <w:r>
              <w:rPr>
                <w:rFonts w:hint="eastAsia" w:ascii="仿宋_GB2312" w:hAnsi="仿宋_GB2312" w:cs="仿宋_GB2312"/>
                <w:b w:val="0"/>
                <w:bCs/>
                <w:color w:val="auto"/>
                <w:sz w:val="24"/>
                <w:szCs w:val="24"/>
                <w:lang w:val="zh-CN"/>
              </w:rPr>
              <w:t>上</w:t>
            </w:r>
            <w:r>
              <w:rPr>
                <w:rFonts w:hint="eastAsia" w:ascii="仿宋_GB2312" w:hAnsi="仿宋_GB2312" w:eastAsia="仿宋_GB2312" w:cs="仿宋_GB2312"/>
                <w:b w:val="0"/>
                <w:bCs/>
                <w:color w:val="auto"/>
                <w:sz w:val="24"/>
                <w:szCs w:val="24"/>
                <w:lang w:val="zh-CN"/>
              </w:rPr>
              <w:t>的</w:t>
            </w:r>
            <w:r>
              <w:rPr>
                <w:rFonts w:hint="eastAsia" w:ascii="仿宋_GB2312" w:hAnsi="仿宋_GB2312" w:cs="仿宋_GB2312"/>
                <w:b w:val="0"/>
                <w:bCs/>
                <w:color w:val="auto"/>
                <w:sz w:val="24"/>
                <w:szCs w:val="24"/>
                <w:lang w:val="zh-CN"/>
              </w:rPr>
              <w:t>集中用餐</w:t>
            </w:r>
            <w:r>
              <w:rPr>
                <w:rFonts w:hint="eastAsia" w:ascii="仿宋_GB2312" w:hAnsi="仿宋_GB2312" w:eastAsia="仿宋_GB2312" w:cs="仿宋_GB2312"/>
                <w:b w:val="0"/>
                <w:bCs/>
                <w:color w:val="auto"/>
                <w:sz w:val="24"/>
                <w:szCs w:val="24"/>
                <w:lang w:val="zh-CN"/>
              </w:rPr>
              <w:t>单位食堂</w:t>
            </w:r>
            <w:r>
              <w:rPr>
                <w:rFonts w:hint="eastAsia" w:ascii="仿宋_GB2312" w:hAnsi="仿宋_GB2312" w:cs="仿宋_GB2312"/>
                <w:b w:val="0"/>
                <w:bCs/>
                <w:color w:val="auto"/>
                <w:sz w:val="24"/>
                <w:szCs w:val="24"/>
                <w:lang w:val="zh-CN"/>
              </w:rPr>
              <w:t>）</w:t>
            </w:r>
            <w:r>
              <w:rPr>
                <w:rFonts w:hint="eastAsia" w:ascii="仿宋_GB2312" w:hAnsi="仿宋_GB2312" w:eastAsia="仿宋_GB2312" w:cs="仿宋_GB2312"/>
                <w:b w:val="0"/>
                <w:bCs/>
                <w:color w:val="auto"/>
                <w:sz w:val="24"/>
                <w:szCs w:val="24"/>
                <w:lang w:val="zh-CN"/>
              </w:rPr>
              <w:t>。</w:t>
            </w:r>
          </w:p>
        </w:tc>
        <w:tc>
          <w:tcPr>
            <w:tcW w:w="555" w:type="dxa"/>
            <w:noWrap w:val="0"/>
            <w:vAlign w:val="center"/>
          </w:tcPr>
          <w:p w14:paraId="74B3ACEF">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25</w:t>
            </w:r>
          </w:p>
        </w:tc>
        <w:tc>
          <w:tcPr>
            <w:tcW w:w="555" w:type="dxa"/>
            <w:noWrap w:val="0"/>
            <w:vAlign w:val="center"/>
          </w:tcPr>
          <w:p w14:paraId="4FE690A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EF28AE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5FDAAFE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97ED7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211" w:type="dxa"/>
            <w:vMerge w:val="continue"/>
            <w:noWrap w:val="0"/>
            <w:vAlign w:val="center"/>
          </w:tcPr>
          <w:p w14:paraId="4730AD7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B66BC1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卫生间不得设置在食品处理区内，卫生间出入口不与食品处理区直接连通。卫生间有排风装置，在出口附近设置洗手、消毒、干手设施。</w:t>
            </w:r>
          </w:p>
        </w:tc>
        <w:tc>
          <w:tcPr>
            <w:tcW w:w="555" w:type="dxa"/>
            <w:noWrap w:val="0"/>
            <w:vAlign w:val="center"/>
          </w:tcPr>
          <w:p w14:paraId="32EE74D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26</w:t>
            </w:r>
          </w:p>
        </w:tc>
        <w:tc>
          <w:tcPr>
            <w:tcW w:w="555" w:type="dxa"/>
            <w:noWrap w:val="0"/>
            <w:vAlign w:val="center"/>
          </w:tcPr>
          <w:p w14:paraId="2C040B7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237674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D366AA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1F2873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1211" w:type="dxa"/>
            <w:vMerge w:val="restart"/>
            <w:noWrap w:val="0"/>
            <w:vAlign w:val="center"/>
          </w:tcPr>
          <w:p w14:paraId="10536CC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5.</w:t>
            </w:r>
            <w:r>
              <w:rPr>
                <w:rFonts w:hint="eastAsia" w:ascii="仿宋_GB2312" w:hAnsi="仿宋_GB2312" w:eastAsia="仿宋_GB2312" w:cs="仿宋_GB2312"/>
                <w:b w:val="0"/>
                <w:bCs/>
                <w:color w:val="auto"/>
                <w:sz w:val="24"/>
                <w:szCs w:val="24"/>
              </w:rPr>
              <w:t>专间</w:t>
            </w:r>
          </w:p>
        </w:tc>
        <w:tc>
          <w:tcPr>
            <w:tcW w:w="6034" w:type="dxa"/>
            <w:noWrap w:val="0"/>
            <w:vAlign w:val="center"/>
          </w:tcPr>
          <w:p w14:paraId="2928083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从事冷荤类及冷食类非发酵豆制品、冷加工糕点、生食类食品制售，中央厨房和集体用餐配送单位进行直接入口易腐食品的冷却、分装、分切操作的（在封闭的自动设备中操作的除外），应分别设置相应的专间。</w:t>
            </w:r>
            <w:r>
              <w:rPr>
                <w:rFonts w:hint="eastAsia" w:ascii="仿宋_GB2312" w:hAnsi="仿宋_GB2312" w:eastAsia="仿宋_GB2312" w:cs="仿宋_GB2312"/>
                <w:b w:val="0"/>
                <w:bCs/>
                <w:color w:val="auto"/>
                <w:sz w:val="24"/>
                <w:szCs w:val="24"/>
                <w:lang w:eastAsia="zh-CN"/>
              </w:rPr>
              <w:t>学校</w:t>
            </w:r>
            <w:r>
              <w:rPr>
                <w:rFonts w:hint="eastAsia" w:ascii="仿宋_GB2312" w:hAnsi="仿宋_GB2312" w:cs="仿宋_GB2312"/>
                <w:b w:val="0"/>
                <w:bCs/>
                <w:color w:val="auto"/>
                <w:sz w:val="24"/>
                <w:szCs w:val="24"/>
                <w:lang w:eastAsia="zh-CN"/>
              </w:rPr>
              <w:t>、托幼机构</w:t>
            </w:r>
            <w:r>
              <w:rPr>
                <w:rFonts w:hint="eastAsia" w:ascii="仿宋_GB2312" w:hAnsi="仿宋_GB2312" w:eastAsia="仿宋_GB2312" w:cs="仿宋_GB2312"/>
                <w:b w:val="0"/>
                <w:bCs/>
                <w:color w:val="auto"/>
                <w:sz w:val="24"/>
                <w:szCs w:val="24"/>
                <w:lang w:eastAsia="zh-CN"/>
              </w:rPr>
              <w:t>和养老机构备餐宜在专间内进行。</w:t>
            </w:r>
          </w:p>
        </w:tc>
        <w:tc>
          <w:tcPr>
            <w:tcW w:w="555" w:type="dxa"/>
            <w:noWrap w:val="0"/>
            <w:vAlign w:val="center"/>
          </w:tcPr>
          <w:p w14:paraId="28C2B014">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27</w:t>
            </w:r>
          </w:p>
        </w:tc>
        <w:tc>
          <w:tcPr>
            <w:tcW w:w="555" w:type="dxa"/>
            <w:noWrap w:val="0"/>
            <w:vAlign w:val="center"/>
          </w:tcPr>
          <w:p w14:paraId="32E320A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EFC30C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32FB88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DB110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211" w:type="dxa"/>
            <w:vMerge w:val="continue"/>
            <w:noWrap w:val="0"/>
            <w:vAlign w:val="center"/>
          </w:tcPr>
          <w:p w14:paraId="42EAD58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74FA4F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专间入口处设置独立的洗手、消毒、干手、更衣设施，水龙头采用非手动式。</w:t>
            </w:r>
          </w:p>
        </w:tc>
        <w:tc>
          <w:tcPr>
            <w:tcW w:w="555" w:type="dxa"/>
            <w:noWrap w:val="0"/>
            <w:vAlign w:val="center"/>
          </w:tcPr>
          <w:p w14:paraId="3F09F6BD">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28</w:t>
            </w:r>
          </w:p>
        </w:tc>
        <w:tc>
          <w:tcPr>
            <w:tcW w:w="555" w:type="dxa"/>
            <w:noWrap w:val="0"/>
            <w:vAlign w:val="center"/>
          </w:tcPr>
          <w:p w14:paraId="3B79AC9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3C8F22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7CB393C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D14E8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211" w:type="dxa"/>
            <w:vMerge w:val="continue"/>
            <w:noWrap w:val="0"/>
            <w:vAlign w:val="center"/>
          </w:tcPr>
          <w:p w14:paraId="519F30A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6170370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专间内无明沟，地漏带水封</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专间墙裙铺设到顶。</w:t>
            </w:r>
          </w:p>
        </w:tc>
        <w:tc>
          <w:tcPr>
            <w:tcW w:w="555" w:type="dxa"/>
            <w:noWrap w:val="0"/>
            <w:vAlign w:val="center"/>
          </w:tcPr>
          <w:p w14:paraId="65558C0B">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29</w:t>
            </w:r>
          </w:p>
        </w:tc>
        <w:tc>
          <w:tcPr>
            <w:tcW w:w="555" w:type="dxa"/>
            <w:noWrap w:val="0"/>
            <w:vAlign w:val="center"/>
          </w:tcPr>
          <w:p w14:paraId="782DC69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41E6A7E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7D02DBC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08F7C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211" w:type="dxa"/>
            <w:vMerge w:val="continue"/>
            <w:noWrap w:val="0"/>
            <w:vAlign w:val="center"/>
          </w:tcPr>
          <w:p w14:paraId="0DB677A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604C538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设置可开闭式食品传递窗口，无其他窗。专间门、窗</w:t>
            </w:r>
            <w:r>
              <w:rPr>
                <w:rFonts w:hint="eastAsia" w:ascii="仿宋_GB2312" w:hAnsi="仿宋_GB2312" w:cs="仿宋_GB2312"/>
                <w:b w:val="0"/>
                <w:bCs/>
                <w:color w:val="auto"/>
                <w:sz w:val="24"/>
                <w:szCs w:val="24"/>
                <w:lang w:eastAsia="zh-CN"/>
              </w:rPr>
              <w:t>能</w:t>
            </w:r>
            <w:r>
              <w:rPr>
                <w:rFonts w:hint="eastAsia" w:ascii="仿宋_GB2312" w:hAnsi="仿宋_GB2312" w:eastAsia="仿宋_GB2312" w:cs="仿宋_GB2312"/>
                <w:b w:val="0"/>
                <w:bCs/>
                <w:color w:val="auto"/>
                <w:sz w:val="24"/>
                <w:szCs w:val="24"/>
              </w:rPr>
              <w:t>闭合严密，门能自动关闭。</w:t>
            </w:r>
          </w:p>
        </w:tc>
        <w:tc>
          <w:tcPr>
            <w:tcW w:w="555" w:type="dxa"/>
            <w:noWrap w:val="0"/>
            <w:vAlign w:val="center"/>
          </w:tcPr>
          <w:p w14:paraId="2567F40D">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30</w:t>
            </w:r>
          </w:p>
        </w:tc>
        <w:tc>
          <w:tcPr>
            <w:tcW w:w="555" w:type="dxa"/>
            <w:noWrap w:val="0"/>
            <w:vAlign w:val="center"/>
          </w:tcPr>
          <w:p w14:paraId="5E1F717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D0BEC3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830A2A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E09DA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1211" w:type="dxa"/>
            <w:vMerge w:val="continue"/>
            <w:noWrap w:val="0"/>
            <w:vAlign w:val="center"/>
          </w:tcPr>
          <w:p w14:paraId="66B8A2C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24D0101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专间内有独立空调设施、</w:t>
            </w:r>
            <w:r>
              <w:rPr>
                <w:rFonts w:hint="eastAsia" w:ascii="仿宋_GB2312" w:hAnsi="仿宋_GB2312" w:cs="仿宋_GB2312"/>
                <w:b w:val="0"/>
                <w:bCs/>
                <w:color w:val="auto"/>
                <w:sz w:val="24"/>
                <w:szCs w:val="24"/>
                <w:lang w:val="zh-CN"/>
              </w:rPr>
              <w:t>专用</w:t>
            </w:r>
            <w:r>
              <w:rPr>
                <w:rFonts w:hint="eastAsia" w:ascii="仿宋_GB2312" w:hAnsi="仿宋_GB2312" w:eastAsia="仿宋_GB2312" w:cs="仿宋_GB2312"/>
                <w:b w:val="0"/>
                <w:bCs/>
                <w:color w:val="auto"/>
                <w:sz w:val="24"/>
                <w:szCs w:val="24"/>
                <w:lang w:val="zh-CN"/>
              </w:rPr>
              <w:t>工用具清洗消毒设施、专用冷藏设施和与专间面积相适应的空气消毒设施。特殊情况只能使用中央空调的，在专间空调出风口安装空气净化过滤装置。</w:t>
            </w:r>
          </w:p>
        </w:tc>
        <w:tc>
          <w:tcPr>
            <w:tcW w:w="555" w:type="dxa"/>
            <w:noWrap w:val="0"/>
            <w:vAlign w:val="center"/>
          </w:tcPr>
          <w:p w14:paraId="4EFF5167">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31</w:t>
            </w:r>
          </w:p>
        </w:tc>
        <w:tc>
          <w:tcPr>
            <w:tcW w:w="555" w:type="dxa"/>
            <w:noWrap w:val="0"/>
            <w:vAlign w:val="center"/>
          </w:tcPr>
          <w:p w14:paraId="57E43D3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5EA095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5DFA49B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1951A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211" w:type="dxa"/>
            <w:vMerge w:val="continue"/>
            <w:noWrap w:val="0"/>
            <w:vAlign w:val="center"/>
          </w:tcPr>
          <w:p w14:paraId="0BA9721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4D51797">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专间水龙头、废弃物容器盖子采用非手动式。</w:t>
            </w:r>
          </w:p>
        </w:tc>
        <w:tc>
          <w:tcPr>
            <w:tcW w:w="555" w:type="dxa"/>
            <w:noWrap w:val="0"/>
            <w:vAlign w:val="center"/>
          </w:tcPr>
          <w:p w14:paraId="29462300">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32</w:t>
            </w:r>
          </w:p>
        </w:tc>
        <w:tc>
          <w:tcPr>
            <w:tcW w:w="555" w:type="dxa"/>
            <w:noWrap w:val="0"/>
            <w:vAlign w:val="center"/>
          </w:tcPr>
          <w:p w14:paraId="2986519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5A5A3A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1561B2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2192CF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11" w:type="dxa"/>
            <w:vMerge w:val="continue"/>
            <w:noWrap w:val="0"/>
            <w:vAlign w:val="center"/>
          </w:tcPr>
          <w:p w14:paraId="0BB1483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40A5355">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配备专用的食品容器、工用具、设备和清洁工具。</w:t>
            </w:r>
          </w:p>
        </w:tc>
        <w:tc>
          <w:tcPr>
            <w:tcW w:w="555" w:type="dxa"/>
            <w:noWrap w:val="0"/>
            <w:vAlign w:val="center"/>
          </w:tcPr>
          <w:p w14:paraId="00DE970C">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33</w:t>
            </w:r>
          </w:p>
        </w:tc>
        <w:tc>
          <w:tcPr>
            <w:tcW w:w="555" w:type="dxa"/>
            <w:noWrap w:val="0"/>
            <w:vAlign w:val="center"/>
          </w:tcPr>
          <w:p w14:paraId="5D9723B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751CA3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09A5C70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1D8FA6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1211" w:type="dxa"/>
            <w:vMerge w:val="restart"/>
            <w:noWrap w:val="0"/>
            <w:vAlign w:val="center"/>
          </w:tcPr>
          <w:p w14:paraId="695295D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6.</w:t>
            </w:r>
            <w:r>
              <w:rPr>
                <w:rFonts w:hint="eastAsia" w:ascii="仿宋_GB2312" w:hAnsi="仿宋_GB2312" w:eastAsia="仿宋_GB2312" w:cs="仿宋_GB2312"/>
                <w:b w:val="0"/>
                <w:bCs/>
                <w:color w:val="auto"/>
                <w:sz w:val="24"/>
                <w:szCs w:val="24"/>
              </w:rPr>
              <w:t>专用操作区</w:t>
            </w:r>
          </w:p>
        </w:tc>
        <w:tc>
          <w:tcPr>
            <w:tcW w:w="6034" w:type="dxa"/>
            <w:noWrap w:val="0"/>
            <w:vAlign w:val="center"/>
          </w:tcPr>
          <w:p w14:paraId="19B4A77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从事备餐、自制饮品（在封闭的自动设备中操作和饮品的现场调配、冲泡、分装除外）、植物性冷食类制作（不含冷食类非发酵豆制品）</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调制直接食用的调味料，应分别设置相应的专用操作区。</w:t>
            </w:r>
          </w:p>
        </w:tc>
        <w:tc>
          <w:tcPr>
            <w:tcW w:w="555" w:type="dxa"/>
            <w:noWrap w:val="0"/>
            <w:vAlign w:val="center"/>
          </w:tcPr>
          <w:p w14:paraId="3702DEBC">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34</w:t>
            </w:r>
          </w:p>
        </w:tc>
        <w:tc>
          <w:tcPr>
            <w:tcW w:w="555" w:type="dxa"/>
            <w:noWrap w:val="0"/>
            <w:vAlign w:val="center"/>
          </w:tcPr>
          <w:p w14:paraId="2BFEAD9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E7A721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1176BB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2C54B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211" w:type="dxa"/>
            <w:vMerge w:val="continue"/>
            <w:noWrap w:val="0"/>
            <w:vAlign w:val="center"/>
          </w:tcPr>
          <w:p w14:paraId="41610D1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4F4578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与其他食品处理功能区相对独立，专区专用，配备专用的食品容器、工用具、设备和清洁工具。</w:t>
            </w:r>
            <w:r>
              <w:rPr>
                <w:rFonts w:hint="eastAsia" w:ascii="仿宋_GB2312" w:hAnsi="仿宋_GB2312" w:eastAsia="仿宋_GB2312" w:cs="仿宋_GB2312"/>
                <w:b w:val="0"/>
                <w:bCs/>
                <w:color w:val="auto"/>
                <w:sz w:val="24"/>
                <w:szCs w:val="24"/>
              </w:rPr>
              <w:t xml:space="preserve"> </w:t>
            </w:r>
          </w:p>
        </w:tc>
        <w:tc>
          <w:tcPr>
            <w:tcW w:w="555" w:type="dxa"/>
            <w:noWrap w:val="0"/>
            <w:vAlign w:val="center"/>
          </w:tcPr>
          <w:p w14:paraId="5A18F870">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35</w:t>
            </w:r>
          </w:p>
        </w:tc>
        <w:tc>
          <w:tcPr>
            <w:tcW w:w="555" w:type="dxa"/>
            <w:noWrap w:val="0"/>
            <w:vAlign w:val="center"/>
          </w:tcPr>
          <w:p w14:paraId="784DCAE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FAF19D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1A40EBE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E2F3A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211" w:type="dxa"/>
            <w:vMerge w:val="continue"/>
            <w:noWrap w:val="0"/>
            <w:vAlign w:val="center"/>
          </w:tcPr>
          <w:p w14:paraId="316717A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1C64665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地面无明沟，地漏带水封。</w:t>
            </w:r>
          </w:p>
        </w:tc>
        <w:tc>
          <w:tcPr>
            <w:tcW w:w="555" w:type="dxa"/>
            <w:noWrap w:val="0"/>
            <w:vAlign w:val="center"/>
          </w:tcPr>
          <w:p w14:paraId="16D62CDA">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36</w:t>
            </w:r>
          </w:p>
        </w:tc>
        <w:tc>
          <w:tcPr>
            <w:tcW w:w="555" w:type="dxa"/>
            <w:noWrap w:val="0"/>
            <w:vAlign w:val="center"/>
          </w:tcPr>
          <w:p w14:paraId="2E61647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26B386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9765DE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3920C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1211" w:type="dxa"/>
            <w:vMerge w:val="continue"/>
            <w:noWrap w:val="0"/>
            <w:vAlign w:val="center"/>
          </w:tcPr>
          <w:p w14:paraId="6AA1254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3A1B699A">
            <w:pPr>
              <w:pStyle w:val="2"/>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生食水产品前处理专用操作场所与专间相邻，</w:t>
            </w:r>
            <w:r>
              <w:rPr>
                <w:rFonts w:hint="eastAsia" w:ascii="仿宋_GB2312" w:hAnsi="仿宋_GB2312" w:eastAsia="仿宋_GB2312" w:cs="仿宋_GB2312"/>
                <w:b w:val="0"/>
                <w:bCs/>
                <w:color w:val="auto"/>
                <w:sz w:val="24"/>
                <w:szCs w:val="24"/>
              </w:rPr>
              <w:t>配置专用水池和加工用具，处理后的半成品能直接通过传递窗进入专间。</w:t>
            </w:r>
          </w:p>
        </w:tc>
        <w:tc>
          <w:tcPr>
            <w:tcW w:w="555" w:type="dxa"/>
            <w:noWrap w:val="0"/>
            <w:vAlign w:val="center"/>
          </w:tcPr>
          <w:p w14:paraId="7B653555">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37</w:t>
            </w:r>
          </w:p>
        </w:tc>
        <w:tc>
          <w:tcPr>
            <w:tcW w:w="555" w:type="dxa"/>
            <w:noWrap w:val="0"/>
            <w:vAlign w:val="center"/>
          </w:tcPr>
          <w:p w14:paraId="619AE43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01D1D3E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D4AFA2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B61DD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211" w:type="dxa"/>
            <w:vMerge w:val="continue"/>
            <w:noWrap w:val="0"/>
            <w:vAlign w:val="center"/>
          </w:tcPr>
          <w:p w14:paraId="26D74C3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47BA0FD2">
            <w:pPr>
              <w:pStyle w:val="2"/>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入口处设置洗手、干手、消毒设施或用品，水龙头采用非手动式。</w:t>
            </w:r>
          </w:p>
        </w:tc>
        <w:tc>
          <w:tcPr>
            <w:tcW w:w="555" w:type="dxa"/>
            <w:noWrap w:val="0"/>
            <w:vAlign w:val="center"/>
          </w:tcPr>
          <w:p w14:paraId="5DEB08DB">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38</w:t>
            </w:r>
          </w:p>
        </w:tc>
        <w:tc>
          <w:tcPr>
            <w:tcW w:w="555" w:type="dxa"/>
            <w:noWrap w:val="0"/>
            <w:vAlign w:val="center"/>
          </w:tcPr>
          <w:p w14:paraId="014BA91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2E5B816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7068CB2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A71F8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11" w:type="dxa"/>
            <w:vMerge w:val="continue"/>
            <w:noWrap w:val="0"/>
            <w:vAlign w:val="center"/>
          </w:tcPr>
          <w:p w14:paraId="64BF5F1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701DA2B5">
            <w:pPr>
              <w:pStyle w:val="2"/>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必要时，配有工具清洗消毒设施和专用冷藏设施。</w:t>
            </w:r>
          </w:p>
        </w:tc>
        <w:tc>
          <w:tcPr>
            <w:tcW w:w="555" w:type="dxa"/>
            <w:noWrap w:val="0"/>
            <w:vAlign w:val="center"/>
          </w:tcPr>
          <w:p w14:paraId="08D1461D">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39</w:t>
            </w:r>
          </w:p>
        </w:tc>
        <w:tc>
          <w:tcPr>
            <w:tcW w:w="555" w:type="dxa"/>
            <w:noWrap w:val="0"/>
            <w:vAlign w:val="center"/>
          </w:tcPr>
          <w:p w14:paraId="4D49F7E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13004E4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142933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71CF5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11" w:type="dxa"/>
            <w:noWrap w:val="0"/>
            <w:vAlign w:val="center"/>
          </w:tcPr>
          <w:p w14:paraId="5D30A92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7.</w:t>
            </w:r>
            <w:r>
              <w:rPr>
                <w:rFonts w:hint="eastAsia" w:ascii="仿宋_GB2312" w:hAnsi="仿宋_GB2312" w:cs="仿宋_GB2312"/>
                <w:b w:val="0"/>
                <w:bCs/>
                <w:color w:val="auto"/>
                <w:sz w:val="24"/>
                <w:szCs w:val="24"/>
                <w:lang w:eastAsia="zh-CN"/>
              </w:rPr>
              <w:t>简单制售</w:t>
            </w:r>
          </w:p>
        </w:tc>
        <w:tc>
          <w:tcPr>
            <w:tcW w:w="6034" w:type="dxa"/>
            <w:noWrap w:val="0"/>
            <w:vAlign w:val="center"/>
          </w:tcPr>
          <w:p w14:paraId="5CC16A8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zh-CN" w:eastAsia="zh-CN" w:bidi="ar-SA"/>
              </w:rPr>
            </w:pPr>
            <w:r>
              <w:rPr>
                <w:rFonts w:hint="eastAsia" w:ascii="仿宋_GB2312" w:hAnsi="仿宋_GB2312" w:eastAsia="仿宋_GB2312" w:cs="仿宋_GB2312"/>
                <w:b w:val="0"/>
                <w:bCs/>
                <w:color w:val="auto"/>
                <w:sz w:val="24"/>
                <w:szCs w:val="24"/>
              </w:rPr>
              <w:t>从事解冻、简单加热、冲调、组合、摆盘、洗切等食品安全风险较低的简单制售的，</w:t>
            </w:r>
            <w:r>
              <w:rPr>
                <w:rFonts w:hint="eastAsia" w:ascii="仿宋_GB2312" w:hAnsi="仿宋_GB2312" w:cs="仿宋_GB2312"/>
                <w:b w:val="0"/>
                <w:bCs/>
                <w:color w:val="auto"/>
                <w:sz w:val="24"/>
                <w:szCs w:val="24"/>
                <w:lang w:eastAsia="zh-CN"/>
              </w:rPr>
              <w:t>对预包装食品进行拆封、装盘、分切、调味等</w:t>
            </w:r>
            <w:r>
              <w:rPr>
                <w:rFonts w:hint="eastAsia" w:ascii="仿宋_GB2312" w:hAnsi="仿宋_GB2312" w:eastAsia="仿宋_GB2312" w:cs="仿宋_GB2312"/>
                <w:b w:val="0"/>
                <w:bCs/>
                <w:color w:val="auto"/>
                <w:sz w:val="24"/>
                <w:szCs w:val="24"/>
              </w:rPr>
              <w:t>简单制售</w:t>
            </w:r>
            <w:r>
              <w:rPr>
                <w:rFonts w:hint="eastAsia" w:ascii="仿宋_GB2312" w:hAnsi="仿宋_GB2312" w:cs="仿宋_GB2312"/>
                <w:b w:val="0"/>
                <w:bCs/>
                <w:color w:val="auto"/>
                <w:sz w:val="24"/>
                <w:szCs w:val="24"/>
                <w:lang w:eastAsia="zh-CN"/>
              </w:rPr>
              <w:t>后</w:t>
            </w:r>
            <w:r>
              <w:rPr>
                <w:rFonts w:hint="eastAsia" w:ascii="仿宋_GB2312" w:hAnsi="仿宋_GB2312" w:eastAsia="仿宋_GB2312" w:cs="仿宋_GB2312"/>
                <w:b w:val="0"/>
                <w:bCs/>
                <w:color w:val="auto"/>
                <w:sz w:val="24"/>
                <w:szCs w:val="24"/>
              </w:rPr>
              <w:t>即时供应</w:t>
            </w:r>
            <w:r>
              <w:rPr>
                <w:rFonts w:hint="eastAsia" w:ascii="仿宋_GB2312" w:hAnsi="仿宋_GB2312" w:cs="仿宋_GB2312"/>
                <w:b w:val="0"/>
                <w:bCs/>
                <w:color w:val="auto"/>
                <w:sz w:val="24"/>
                <w:szCs w:val="24"/>
                <w:lang w:eastAsia="zh-CN"/>
              </w:rPr>
              <w:t>的，</w:t>
            </w:r>
            <w:r>
              <w:rPr>
                <w:rFonts w:hint="eastAsia" w:ascii="仿宋_GB2312" w:hAnsi="仿宋_GB2312" w:eastAsia="仿宋_GB2312" w:cs="仿宋_GB2312"/>
                <w:b w:val="0"/>
                <w:bCs/>
                <w:color w:val="auto"/>
                <w:sz w:val="24"/>
                <w:szCs w:val="24"/>
              </w:rPr>
              <w:t>可在相对洁净的专用工作台操作。</w:t>
            </w:r>
          </w:p>
        </w:tc>
        <w:tc>
          <w:tcPr>
            <w:tcW w:w="555" w:type="dxa"/>
            <w:noWrap w:val="0"/>
            <w:vAlign w:val="center"/>
          </w:tcPr>
          <w:p w14:paraId="45A580B5">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kern w:val="2"/>
                <w:sz w:val="24"/>
                <w:szCs w:val="24"/>
                <w:lang w:val="en-US" w:eastAsia="zh-CN" w:bidi="ar-SA"/>
              </w:rPr>
              <w:t>40</w:t>
            </w:r>
          </w:p>
        </w:tc>
        <w:tc>
          <w:tcPr>
            <w:tcW w:w="555" w:type="dxa"/>
            <w:noWrap w:val="0"/>
            <w:vAlign w:val="center"/>
          </w:tcPr>
          <w:p w14:paraId="263BA16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95" w:type="dxa"/>
            <w:noWrap w:val="0"/>
            <w:vAlign w:val="center"/>
          </w:tcPr>
          <w:p w14:paraId="28467AC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16" w:type="dxa"/>
            <w:noWrap w:val="0"/>
            <w:vAlign w:val="center"/>
          </w:tcPr>
          <w:p w14:paraId="5F57B18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02D8A8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11" w:type="dxa"/>
            <w:noWrap w:val="0"/>
            <w:vAlign w:val="center"/>
          </w:tcPr>
          <w:p w14:paraId="2760964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8.</w:t>
            </w:r>
            <w:r>
              <w:rPr>
                <w:rFonts w:hint="eastAsia" w:ascii="仿宋_GB2312" w:hAnsi="仿宋_GB2312" w:cs="仿宋_GB2312"/>
                <w:b w:val="0"/>
                <w:bCs/>
                <w:color w:val="auto"/>
                <w:sz w:val="24"/>
                <w:szCs w:val="24"/>
                <w:lang w:eastAsia="zh-CN"/>
              </w:rPr>
              <w:t>食品用水</w:t>
            </w:r>
          </w:p>
        </w:tc>
        <w:tc>
          <w:tcPr>
            <w:tcW w:w="6034" w:type="dxa"/>
            <w:noWrap w:val="0"/>
            <w:vAlign w:val="center"/>
          </w:tcPr>
          <w:p w14:paraId="13417B66">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接触直接入口食品（包括冷食类、生食类食品和自制饮品）的水</w:t>
            </w:r>
            <w:r>
              <w:rPr>
                <w:rFonts w:hint="eastAsia" w:ascii="仿宋_GB2312" w:hAnsi="仿宋_GB2312" w:eastAsia="仿宋_GB2312" w:cs="仿宋_GB2312"/>
                <w:b w:val="0"/>
                <w:bCs/>
                <w:color w:val="auto"/>
                <w:sz w:val="24"/>
                <w:szCs w:val="24"/>
                <w:lang w:val="zh-CN"/>
              </w:rPr>
              <w:t>经过水净化设施处理或</w:t>
            </w:r>
            <w:r>
              <w:rPr>
                <w:rFonts w:hint="eastAsia" w:ascii="仿宋_GB2312" w:hAnsi="仿宋_GB2312" w:eastAsia="仿宋_GB2312" w:cs="仿宋_GB2312"/>
                <w:b w:val="0"/>
                <w:bCs/>
                <w:color w:val="auto"/>
                <w:sz w:val="24"/>
                <w:szCs w:val="24"/>
              </w:rPr>
              <w:t>煮沸设施</w:t>
            </w:r>
            <w:r>
              <w:rPr>
                <w:rFonts w:hint="eastAsia" w:ascii="仿宋_GB2312" w:hAnsi="仿宋_GB2312" w:cs="仿宋_GB2312"/>
                <w:b w:val="0"/>
                <w:bCs/>
                <w:color w:val="auto"/>
                <w:sz w:val="24"/>
                <w:szCs w:val="24"/>
                <w:lang w:val="zh-CN"/>
              </w:rPr>
              <w:t>或</w:t>
            </w:r>
            <w:r>
              <w:rPr>
                <w:rFonts w:hint="eastAsia" w:ascii="仿宋_GB2312" w:hAnsi="仿宋_GB2312" w:eastAsia="仿宋_GB2312" w:cs="仿宋_GB2312"/>
                <w:b w:val="0"/>
                <w:bCs/>
                <w:color w:val="auto"/>
                <w:sz w:val="24"/>
                <w:szCs w:val="24"/>
                <w:lang w:val="zh-CN"/>
              </w:rPr>
              <w:t>使用直接饮用水。</w:t>
            </w:r>
          </w:p>
        </w:tc>
        <w:tc>
          <w:tcPr>
            <w:tcW w:w="555" w:type="dxa"/>
            <w:noWrap w:val="0"/>
            <w:vAlign w:val="center"/>
          </w:tcPr>
          <w:p w14:paraId="4B2B8743">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41</w:t>
            </w:r>
          </w:p>
        </w:tc>
        <w:tc>
          <w:tcPr>
            <w:tcW w:w="555" w:type="dxa"/>
            <w:noWrap w:val="0"/>
            <w:vAlign w:val="center"/>
          </w:tcPr>
          <w:p w14:paraId="104283B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6ECB8F0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2B57000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9B29D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211" w:type="dxa"/>
            <w:noWrap w:val="0"/>
            <w:vAlign w:val="center"/>
          </w:tcPr>
          <w:p w14:paraId="4C58D6A5">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9.</w:t>
            </w:r>
            <w:r>
              <w:rPr>
                <w:rFonts w:hint="eastAsia" w:ascii="仿宋_GB2312" w:hAnsi="仿宋_GB2312" w:eastAsia="仿宋_GB2312" w:cs="仿宋_GB2312"/>
                <w:b w:val="0"/>
                <w:bCs/>
                <w:color w:val="auto"/>
                <w:sz w:val="24"/>
                <w:szCs w:val="24"/>
              </w:rPr>
              <w:t>食品留样</w:t>
            </w:r>
            <w:r>
              <w:rPr>
                <w:rFonts w:hint="eastAsia" w:ascii="仿宋_GB2312" w:hAnsi="仿宋_GB2312" w:cs="仿宋_GB2312"/>
                <w:b w:val="0"/>
                <w:bCs/>
                <w:color w:val="auto"/>
                <w:sz w:val="24"/>
                <w:szCs w:val="24"/>
                <w:lang w:eastAsia="zh-CN"/>
              </w:rPr>
              <w:t>设备</w:t>
            </w:r>
          </w:p>
        </w:tc>
        <w:tc>
          <w:tcPr>
            <w:tcW w:w="6034" w:type="dxa"/>
            <w:noWrap w:val="0"/>
            <w:vAlign w:val="center"/>
          </w:tcPr>
          <w:p w14:paraId="2C1251B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eastAsia="zh-CN"/>
              </w:rPr>
              <w:t>学校、托幼机构、养老机构、医疗机构食堂，</w:t>
            </w:r>
            <w:r>
              <w:rPr>
                <w:rFonts w:hint="eastAsia" w:ascii="仿宋_GB2312" w:hAnsi="仿宋_GB2312" w:eastAsia="仿宋_GB2312" w:cs="仿宋_GB2312"/>
                <w:b w:val="0"/>
                <w:bCs/>
                <w:color w:val="auto"/>
                <w:sz w:val="24"/>
                <w:szCs w:val="24"/>
                <w:lang w:val="zh-CN"/>
              </w:rPr>
              <w:t>中央厨房、集体用餐配送单位</w:t>
            </w:r>
            <w:r>
              <w:rPr>
                <w:rFonts w:hint="eastAsia" w:ascii="仿宋_GB2312" w:hAnsi="仿宋_GB2312" w:eastAsia="仿宋_GB2312" w:cs="仿宋_GB2312"/>
                <w:b w:val="0"/>
                <w:bCs/>
                <w:color w:val="auto"/>
                <w:sz w:val="24"/>
                <w:szCs w:val="24"/>
                <w:lang w:val="zh-CN" w:eastAsia="zh-CN"/>
              </w:rPr>
              <w:t>，供餐人数超过</w:t>
            </w:r>
            <w:r>
              <w:rPr>
                <w:rFonts w:hint="eastAsia" w:ascii="仿宋_GB2312" w:hAnsi="仿宋_GB2312" w:eastAsia="仿宋_GB2312" w:cs="仿宋_GB2312"/>
                <w:b w:val="0"/>
                <w:bCs/>
                <w:color w:val="auto"/>
                <w:sz w:val="24"/>
                <w:szCs w:val="24"/>
                <w:lang w:val="en-US" w:eastAsia="zh-CN"/>
              </w:rPr>
              <w:t>100人的建筑工地食堂、集体聚餐人数超过100人的餐饮服务提供者</w:t>
            </w:r>
            <w:r>
              <w:rPr>
                <w:rFonts w:hint="eastAsia" w:ascii="仿宋_GB2312" w:hAnsi="仿宋_GB2312" w:eastAsia="仿宋_GB2312" w:cs="仿宋_GB2312"/>
                <w:b w:val="0"/>
                <w:bCs/>
                <w:color w:val="auto"/>
                <w:sz w:val="24"/>
                <w:szCs w:val="24"/>
                <w:lang w:val="zh-CN"/>
              </w:rPr>
              <w:t>配备留样专用容器、冷藏设施</w:t>
            </w:r>
            <w:r>
              <w:rPr>
                <w:rFonts w:hint="eastAsia" w:ascii="仿宋_GB2312" w:hAnsi="仿宋_GB2312" w:cs="仿宋_GB2312"/>
                <w:b w:val="0"/>
                <w:bCs/>
                <w:color w:val="auto"/>
                <w:sz w:val="24"/>
                <w:szCs w:val="24"/>
                <w:lang w:val="zh-CN"/>
              </w:rPr>
              <w:t>。</w:t>
            </w:r>
          </w:p>
        </w:tc>
        <w:tc>
          <w:tcPr>
            <w:tcW w:w="555" w:type="dxa"/>
            <w:noWrap w:val="0"/>
            <w:vAlign w:val="center"/>
          </w:tcPr>
          <w:p w14:paraId="3E3835B8">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42</w:t>
            </w:r>
          </w:p>
        </w:tc>
        <w:tc>
          <w:tcPr>
            <w:tcW w:w="555" w:type="dxa"/>
            <w:noWrap w:val="0"/>
            <w:vAlign w:val="center"/>
          </w:tcPr>
          <w:p w14:paraId="78C69F6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5CF1C25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6865784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558AC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0" w:hRule="atLeast"/>
          <w:jc w:val="center"/>
        </w:trPr>
        <w:tc>
          <w:tcPr>
            <w:tcW w:w="1211" w:type="dxa"/>
            <w:noWrap w:val="0"/>
            <w:vAlign w:val="center"/>
          </w:tcPr>
          <w:p w14:paraId="09C0F7D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p w14:paraId="650718CB">
            <w:pPr>
              <w:pStyle w:val="2"/>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10.</w:t>
            </w:r>
            <w:r>
              <w:rPr>
                <w:rFonts w:hint="eastAsia" w:ascii="仿宋_GB2312" w:hAnsi="仿宋_GB2312" w:eastAsia="仿宋_GB2312" w:cs="仿宋_GB2312"/>
                <w:b w:val="0"/>
                <w:bCs/>
                <w:color w:val="auto"/>
                <w:sz w:val="24"/>
                <w:szCs w:val="24"/>
                <w:lang w:eastAsia="zh-CN"/>
              </w:rPr>
              <w:t>管理制度</w:t>
            </w:r>
          </w:p>
          <w:p w14:paraId="45876690">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p>
        </w:tc>
        <w:tc>
          <w:tcPr>
            <w:tcW w:w="6034" w:type="dxa"/>
            <w:noWrap w:val="0"/>
            <w:vAlign w:val="center"/>
          </w:tcPr>
          <w:p w14:paraId="0BFCFF7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经营者</w:t>
            </w:r>
            <w:r>
              <w:rPr>
                <w:rFonts w:hint="eastAsia" w:ascii="仿宋_GB2312" w:hAnsi="仿宋_GB2312" w:eastAsia="仿宋_GB2312" w:cs="仿宋_GB2312"/>
                <w:b w:val="0"/>
                <w:bCs/>
                <w:color w:val="auto"/>
                <w:sz w:val="24"/>
                <w:szCs w:val="24"/>
              </w:rPr>
              <w:t>有</w:t>
            </w:r>
            <w:r>
              <w:rPr>
                <w:rFonts w:hint="eastAsia" w:ascii="仿宋_GB2312" w:hAnsi="仿宋_GB2312" w:eastAsia="仿宋_GB2312" w:cs="仿宋_GB2312"/>
                <w:b w:val="0"/>
                <w:bCs/>
                <w:color w:val="auto"/>
                <w:sz w:val="24"/>
                <w:szCs w:val="24"/>
                <w:lang w:val="zh-CN"/>
              </w:rPr>
              <w:t>食品安全自查、</w:t>
            </w:r>
            <w:r>
              <w:rPr>
                <w:rFonts w:hint="eastAsia" w:ascii="仿宋_GB2312" w:hAnsi="仿宋_GB2312" w:eastAsia="仿宋_GB2312" w:cs="仿宋_GB2312"/>
                <w:b w:val="0"/>
                <w:bCs/>
                <w:color w:val="auto"/>
                <w:sz w:val="24"/>
                <w:szCs w:val="24"/>
              </w:rPr>
              <w:t>食品安全追溯、</w:t>
            </w:r>
            <w:r>
              <w:rPr>
                <w:rFonts w:hint="eastAsia" w:ascii="仿宋_GB2312" w:hAnsi="仿宋_GB2312" w:eastAsia="仿宋_GB2312" w:cs="仿宋_GB2312"/>
                <w:b w:val="0"/>
                <w:bCs/>
                <w:color w:val="auto"/>
                <w:sz w:val="24"/>
                <w:szCs w:val="24"/>
                <w:lang w:val="zh-CN"/>
              </w:rPr>
              <w:t>从业人员健康管理制度、定期清洗消毒空调及通风设施制度、定期清洁卫生间制度。经营者为企业的，还应</w:t>
            </w:r>
            <w:r>
              <w:rPr>
                <w:rFonts w:hint="eastAsia" w:ascii="仿宋_GB2312" w:hAnsi="仿宋_GB2312" w:eastAsia="仿宋_GB2312" w:cs="仿宋_GB2312"/>
                <w:b w:val="0"/>
                <w:bCs/>
                <w:color w:val="auto"/>
                <w:sz w:val="24"/>
                <w:szCs w:val="24"/>
              </w:rPr>
              <w:t>有食品安全风险管控清单，有日管控、周排查、月调度制度，人员培训和考核制度，进货查验记录制度，场所及设施清洗清毒和维修保养制度，食品贮存管理制度，废弃物处置制度，不合格食品处置制度，食品安全事故处置方案以及食品经营过程控制制度等制度。中央厨房、集体用餐配送单位、集中用餐单位食堂还应建立原料供货商管理评价退出制度等制度。</w:t>
            </w:r>
          </w:p>
        </w:tc>
        <w:tc>
          <w:tcPr>
            <w:tcW w:w="555" w:type="dxa"/>
            <w:noWrap w:val="0"/>
            <w:vAlign w:val="center"/>
          </w:tcPr>
          <w:p w14:paraId="542C599C">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43</w:t>
            </w:r>
          </w:p>
        </w:tc>
        <w:tc>
          <w:tcPr>
            <w:tcW w:w="555" w:type="dxa"/>
            <w:noWrap w:val="0"/>
            <w:vAlign w:val="center"/>
          </w:tcPr>
          <w:p w14:paraId="6FB67C2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noWrap w:val="0"/>
            <w:vAlign w:val="center"/>
          </w:tcPr>
          <w:p w14:paraId="71D4B1B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noWrap w:val="0"/>
            <w:vAlign w:val="center"/>
          </w:tcPr>
          <w:p w14:paraId="4B537F7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296F8A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211" w:type="dxa"/>
            <w:vMerge w:val="restart"/>
            <w:tcBorders>
              <w:top w:val="single" w:color="auto" w:sz="4" w:space="0"/>
              <w:left w:val="single" w:color="auto" w:sz="4" w:space="0"/>
              <w:right w:val="single" w:color="auto" w:sz="4" w:space="0"/>
            </w:tcBorders>
            <w:noWrap w:val="0"/>
            <w:vAlign w:val="center"/>
          </w:tcPr>
          <w:p w14:paraId="06A0D11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11.</w:t>
            </w:r>
            <w:r>
              <w:rPr>
                <w:rFonts w:hint="eastAsia" w:ascii="仿宋_GB2312" w:hAnsi="仿宋_GB2312" w:eastAsia="仿宋_GB2312" w:cs="仿宋_GB2312"/>
                <w:b w:val="0"/>
                <w:bCs/>
                <w:color w:val="auto"/>
                <w:sz w:val="24"/>
                <w:szCs w:val="24"/>
              </w:rPr>
              <w:t>中央厨房和集体用餐配送单位</w:t>
            </w:r>
          </w:p>
        </w:tc>
        <w:tc>
          <w:tcPr>
            <w:tcW w:w="6034" w:type="dxa"/>
            <w:tcBorders>
              <w:top w:val="single" w:color="auto" w:sz="4" w:space="0"/>
              <w:left w:val="single" w:color="auto" w:sz="4" w:space="0"/>
              <w:bottom w:val="single" w:color="auto" w:sz="4" w:space="0"/>
              <w:right w:val="single" w:color="auto" w:sz="4" w:space="0"/>
            </w:tcBorders>
            <w:noWrap w:val="0"/>
            <w:vAlign w:val="center"/>
          </w:tcPr>
          <w:p w14:paraId="2D60D01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cs="仿宋_GB2312"/>
                <w:b w:val="0"/>
                <w:bCs/>
                <w:color w:val="auto"/>
                <w:sz w:val="24"/>
                <w:szCs w:val="24"/>
                <w:lang w:val="zh-CN"/>
              </w:rPr>
              <w:t>制作场所</w:t>
            </w:r>
            <w:r>
              <w:rPr>
                <w:rFonts w:hint="eastAsia" w:ascii="仿宋_GB2312" w:hAnsi="仿宋_GB2312" w:eastAsia="仿宋_GB2312" w:cs="仿宋_GB2312"/>
                <w:b w:val="0"/>
                <w:bCs/>
                <w:color w:val="auto"/>
                <w:sz w:val="24"/>
                <w:szCs w:val="24"/>
                <w:lang w:val="zh-CN"/>
              </w:rPr>
              <w:t>入口处设置</w:t>
            </w:r>
            <w:r>
              <w:rPr>
                <w:rFonts w:hint="eastAsia" w:ascii="仿宋_GB2312" w:hAnsi="仿宋_GB2312" w:cs="仿宋_GB2312"/>
                <w:b w:val="0"/>
                <w:bCs/>
                <w:color w:val="auto"/>
                <w:sz w:val="24"/>
                <w:szCs w:val="24"/>
                <w:lang w:val="zh-CN"/>
              </w:rPr>
              <w:t>更衣场所、</w:t>
            </w:r>
            <w:r>
              <w:rPr>
                <w:rFonts w:hint="eastAsia" w:ascii="仿宋_GB2312" w:hAnsi="仿宋_GB2312" w:eastAsia="仿宋_GB2312" w:cs="仿宋_GB2312"/>
                <w:b w:val="0"/>
                <w:bCs/>
                <w:color w:val="auto"/>
                <w:sz w:val="24"/>
                <w:szCs w:val="24"/>
                <w:lang w:val="zh-CN"/>
              </w:rPr>
              <w:t>风淋或风幕装置。</w:t>
            </w:r>
            <w:r>
              <w:rPr>
                <w:rFonts w:hint="eastAsia" w:ascii="仿宋_GB2312" w:hAnsi="仿宋_GB2312" w:eastAsia="仿宋_GB2312" w:cs="仿宋_GB2312"/>
                <w:color w:val="000000"/>
                <w:kern w:val="0"/>
                <w:sz w:val="24"/>
                <w:szCs w:val="24"/>
                <w:lang w:val="en-US" w:eastAsia="zh-CN"/>
              </w:rPr>
              <w:t>按需设置换鞋或鞋靴消毒设施</w:t>
            </w:r>
            <w:r>
              <w:rPr>
                <w:rFonts w:hint="eastAsia" w:ascii="仿宋_GB2312" w:hAnsi="仿宋_GB2312" w:cs="仿宋_GB2312"/>
                <w:color w:val="000000"/>
                <w:kern w:val="0"/>
                <w:sz w:val="24"/>
                <w:szCs w:val="24"/>
                <w:lang w:val="en-US" w:eastAsia="zh-CN"/>
              </w:rPr>
              <w:t>以及</w:t>
            </w:r>
            <w:r>
              <w:rPr>
                <w:rFonts w:hint="eastAsia" w:ascii="仿宋_GB2312" w:hAnsi="仿宋_GB2312" w:eastAsia="仿宋_GB2312" w:cs="仿宋_GB2312"/>
                <w:color w:val="000000"/>
                <w:kern w:val="0"/>
                <w:sz w:val="24"/>
                <w:szCs w:val="24"/>
                <w:lang w:val="en-US" w:eastAsia="zh-CN"/>
              </w:rPr>
              <w:t>非手动式洗手、干手和消毒设施。</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184A4FD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44</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1C15A05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7696786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3868116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A272D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211" w:type="dxa"/>
            <w:vMerge w:val="continue"/>
            <w:tcBorders>
              <w:left w:val="single" w:color="auto" w:sz="4" w:space="0"/>
              <w:right w:val="single" w:color="auto" w:sz="4" w:space="0"/>
            </w:tcBorders>
            <w:noWrap w:val="0"/>
            <w:vAlign w:val="center"/>
          </w:tcPr>
          <w:p w14:paraId="030BA24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5C8195F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如设置窗台，其结构能避免灰尘积存易于清洁。</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10BC7192">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45</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6153885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161A248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74D8EAC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F7970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211" w:type="dxa"/>
            <w:vMerge w:val="continue"/>
            <w:tcBorders>
              <w:left w:val="single" w:color="auto" w:sz="4" w:space="0"/>
              <w:right w:val="single" w:color="auto" w:sz="4" w:space="0"/>
            </w:tcBorders>
            <w:noWrap w:val="0"/>
            <w:vAlign w:val="center"/>
          </w:tcPr>
          <w:p w14:paraId="69C5733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024D5F6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配置相应的设备，为配送食品的容器（或包装）标注加工制作信息，包括食品名称、加工制作时间、保存条件、保存期限、加工制作要求等。</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1349C1F5">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46</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3A2333E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6CE1245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4842274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040EA7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211" w:type="dxa"/>
            <w:vMerge w:val="continue"/>
            <w:tcBorders>
              <w:left w:val="single" w:color="auto" w:sz="4" w:space="0"/>
              <w:right w:val="single" w:color="auto" w:sz="4" w:space="0"/>
            </w:tcBorders>
            <w:noWrap w:val="0"/>
            <w:vAlign w:val="center"/>
          </w:tcPr>
          <w:p w14:paraId="337C9D7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233CD3BC">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配备封闭式专用运输车辆和专用密闭运输容器，车辆和容器内部材质和结构便于清洗和消毒。</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086349C2">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47</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7ABC5D3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691AFAE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638C33B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603FFD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211" w:type="dxa"/>
            <w:vMerge w:val="continue"/>
            <w:tcBorders>
              <w:left w:val="single" w:color="auto" w:sz="4" w:space="0"/>
              <w:right w:val="single" w:color="auto" w:sz="4" w:space="0"/>
            </w:tcBorders>
            <w:noWrap w:val="0"/>
            <w:vAlign w:val="center"/>
          </w:tcPr>
          <w:p w14:paraId="5140D32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0DA901A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冷藏食品运输车辆配备制冷</w:t>
            </w:r>
            <w:r>
              <w:rPr>
                <w:rFonts w:hint="eastAsia" w:ascii="仿宋_GB2312" w:hAnsi="仿宋_GB2312" w:cs="仿宋_GB2312"/>
                <w:b w:val="0"/>
                <w:bCs/>
                <w:color w:val="auto"/>
                <w:sz w:val="24"/>
                <w:szCs w:val="24"/>
                <w:lang w:val="zh-CN"/>
              </w:rPr>
              <w:t>或保温设施</w:t>
            </w:r>
            <w:r>
              <w:rPr>
                <w:rFonts w:hint="eastAsia" w:ascii="仿宋_GB2312" w:hAnsi="仿宋_GB2312" w:eastAsia="仿宋_GB2312" w:cs="仿宋_GB2312"/>
                <w:b w:val="0"/>
                <w:bCs/>
                <w:color w:val="auto"/>
                <w:sz w:val="24"/>
                <w:szCs w:val="24"/>
                <w:lang w:val="zh-CN"/>
              </w:rPr>
              <w:t>，</w:t>
            </w:r>
            <w:r>
              <w:rPr>
                <w:rFonts w:hint="eastAsia" w:ascii="仿宋_GB2312" w:hAnsi="仿宋_GB2312" w:cs="仿宋_GB2312"/>
                <w:b w:val="0"/>
                <w:bCs/>
                <w:color w:val="auto"/>
                <w:sz w:val="24"/>
                <w:szCs w:val="24"/>
                <w:lang w:val="zh-CN"/>
              </w:rPr>
              <w:t>能保证</w:t>
            </w:r>
            <w:r>
              <w:rPr>
                <w:rFonts w:hint="eastAsia" w:ascii="仿宋_GB2312" w:hAnsi="仿宋_GB2312" w:eastAsia="仿宋_GB2312" w:cs="仿宋_GB2312"/>
                <w:b w:val="0"/>
                <w:bCs/>
                <w:color w:val="auto"/>
                <w:sz w:val="24"/>
                <w:szCs w:val="24"/>
                <w:lang w:val="zh-CN"/>
              </w:rPr>
              <w:t>运输</w:t>
            </w:r>
            <w:r>
              <w:rPr>
                <w:rFonts w:hint="eastAsia" w:ascii="仿宋_GB2312" w:hAnsi="仿宋_GB2312" w:cs="仿宋_GB2312"/>
                <w:b w:val="0"/>
                <w:bCs/>
                <w:color w:val="auto"/>
                <w:sz w:val="24"/>
                <w:szCs w:val="24"/>
                <w:lang w:val="zh-CN"/>
              </w:rPr>
              <w:t>时冷藏温度</w:t>
            </w:r>
            <w:r>
              <w:rPr>
                <w:rFonts w:hint="eastAsia" w:ascii="仿宋_GB2312" w:hAnsi="仿宋_GB2312" w:eastAsia="仿宋_GB2312" w:cs="仿宋_GB2312"/>
                <w:b w:val="0"/>
                <w:bCs/>
                <w:color w:val="auto"/>
                <w:sz w:val="24"/>
                <w:szCs w:val="24"/>
                <w:lang w:val="zh-CN"/>
              </w:rPr>
              <w:t>保持在0℃</w:t>
            </w:r>
            <w:r>
              <w:rPr>
                <w:rFonts w:hint="eastAsia" w:ascii="仿宋_GB2312" w:hAnsi="仿宋_GB2312" w:cs="仿宋_GB2312"/>
                <w:b w:val="0"/>
                <w:bCs/>
                <w:color w:val="auto"/>
                <w:sz w:val="24"/>
                <w:szCs w:val="24"/>
                <w:lang w:val="zh-CN"/>
              </w:rPr>
              <w:t>—</w:t>
            </w:r>
            <w:r>
              <w:rPr>
                <w:rFonts w:hint="eastAsia" w:ascii="仿宋_GB2312" w:hAnsi="仿宋_GB2312" w:cs="仿宋_GB2312"/>
                <w:b w:val="0"/>
                <w:bCs/>
                <w:color w:val="auto"/>
                <w:sz w:val="24"/>
                <w:szCs w:val="24"/>
                <w:lang w:val="en-US" w:eastAsia="zh-CN"/>
              </w:rPr>
              <w:t>8</w:t>
            </w:r>
            <w:r>
              <w:rPr>
                <w:rFonts w:hint="eastAsia" w:ascii="仿宋_GB2312" w:hAnsi="仿宋_GB2312" w:eastAsia="仿宋_GB2312" w:cs="仿宋_GB2312"/>
                <w:b w:val="0"/>
                <w:bCs/>
                <w:color w:val="auto"/>
                <w:sz w:val="24"/>
                <w:szCs w:val="24"/>
                <w:lang w:val="zh-CN"/>
              </w:rPr>
              <w:t>℃</w:t>
            </w:r>
            <w:r>
              <w:rPr>
                <w:rFonts w:hint="eastAsia" w:ascii="仿宋_GB2312" w:hAnsi="仿宋_GB2312" w:cs="仿宋_GB2312"/>
                <w:b w:val="0"/>
                <w:bCs/>
                <w:color w:val="auto"/>
                <w:sz w:val="24"/>
                <w:szCs w:val="24"/>
                <w:lang w:val="zh-CN"/>
              </w:rPr>
              <w:t>，</w:t>
            </w:r>
            <w:r>
              <w:rPr>
                <w:rFonts w:hint="eastAsia" w:ascii="仿宋_GB2312" w:hAnsi="仿宋_GB2312" w:eastAsia="仿宋_GB2312" w:cs="仿宋_GB2312"/>
                <w:b w:val="0"/>
                <w:bCs/>
                <w:color w:val="auto"/>
                <w:sz w:val="24"/>
                <w:szCs w:val="24"/>
                <w:lang w:val="zh-CN"/>
              </w:rPr>
              <w:t>保温温度保持在60℃以上。</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59DC197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48</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7218B2D7">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6B0E801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3F4171C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541A65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211" w:type="dxa"/>
            <w:vMerge w:val="continue"/>
            <w:tcBorders>
              <w:left w:val="single" w:color="auto" w:sz="4" w:space="0"/>
              <w:right w:val="single" w:color="auto" w:sz="4" w:space="0"/>
            </w:tcBorders>
            <w:noWrap w:val="0"/>
            <w:vAlign w:val="center"/>
          </w:tcPr>
          <w:p w14:paraId="0D6B84F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5099C3F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cs="仿宋_GB2312"/>
                <w:b w:val="0"/>
                <w:bCs/>
                <w:color w:val="auto"/>
                <w:sz w:val="24"/>
                <w:szCs w:val="24"/>
                <w:lang w:val="zh-CN"/>
              </w:rPr>
              <w:t>根据制作工艺</w:t>
            </w:r>
            <w:r>
              <w:rPr>
                <w:rFonts w:hint="eastAsia" w:ascii="仿宋_GB2312" w:hAnsi="仿宋_GB2312" w:eastAsia="仿宋_GB2312" w:cs="仿宋_GB2312"/>
                <w:b w:val="0"/>
                <w:bCs/>
                <w:color w:val="auto"/>
                <w:sz w:val="24"/>
                <w:szCs w:val="24"/>
                <w:lang w:val="zh-CN"/>
              </w:rPr>
              <w:t>配备异物检测设备。</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7C13733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49</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3CA85DB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68B0506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684AF9BF">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252173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0" w:hRule="atLeast"/>
          <w:jc w:val="center"/>
        </w:trPr>
        <w:tc>
          <w:tcPr>
            <w:tcW w:w="1211" w:type="dxa"/>
            <w:vMerge w:val="continue"/>
            <w:tcBorders>
              <w:left w:val="single" w:color="auto" w:sz="4" w:space="0"/>
              <w:right w:val="single" w:color="auto" w:sz="4" w:space="0"/>
            </w:tcBorders>
            <w:noWrap w:val="0"/>
            <w:vAlign w:val="center"/>
          </w:tcPr>
          <w:p w14:paraId="73ADC52B">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2840F793">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both"/>
              <w:textAlignment w:val="auto"/>
              <w:outlineLvl w:val="9"/>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lang w:val="zh-CN"/>
              </w:rPr>
              <w:t>自行检验的，设置检验室，</w:t>
            </w:r>
            <w:r>
              <w:rPr>
                <w:rFonts w:hint="eastAsia" w:ascii="仿宋_GB2312" w:hAnsi="仿宋_GB2312" w:eastAsia="仿宋_GB2312" w:cs="仿宋_GB2312"/>
                <w:b w:val="0"/>
                <w:bCs/>
                <w:color w:val="auto"/>
                <w:sz w:val="24"/>
                <w:szCs w:val="24"/>
              </w:rPr>
              <w:t>检验室不得设在食品</w:t>
            </w:r>
            <w:r>
              <w:rPr>
                <w:rFonts w:hint="eastAsia" w:ascii="仿宋_GB2312" w:hAnsi="仿宋_GB2312" w:cs="仿宋_GB2312"/>
                <w:b w:val="0"/>
                <w:bCs/>
                <w:color w:val="auto"/>
                <w:sz w:val="24"/>
                <w:szCs w:val="24"/>
                <w:lang w:eastAsia="zh-CN"/>
              </w:rPr>
              <w:t>处理</w:t>
            </w:r>
            <w:r>
              <w:rPr>
                <w:rFonts w:hint="eastAsia" w:ascii="仿宋_GB2312" w:hAnsi="仿宋_GB2312" w:eastAsia="仿宋_GB2312" w:cs="仿宋_GB2312"/>
                <w:b w:val="0"/>
                <w:bCs/>
                <w:color w:val="auto"/>
                <w:sz w:val="24"/>
                <w:szCs w:val="24"/>
              </w:rPr>
              <w:t>区内，有独立的排水系统。具有</w:t>
            </w:r>
            <w:r>
              <w:rPr>
                <w:rFonts w:hint="eastAsia" w:ascii="仿宋_GB2312" w:hAnsi="仿宋_GB2312" w:eastAsia="仿宋_GB2312" w:cs="仿宋_GB2312"/>
                <w:b w:val="0"/>
                <w:bCs/>
                <w:color w:val="auto"/>
                <w:kern w:val="0"/>
                <w:sz w:val="24"/>
                <w:szCs w:val="24"/>
              </w:rPr>
              <w:t>快速检测食品原料中兽药残留、农药残留等理化指标和检验食品菌落总数、大肠菌群等微生物指标以及接触直接入口食品的餐用具大肠菌群等</w:t>
            </w:r>
            <w:r>
              <w:rPr>
                <w:rFonts w:hint="eastAsia" w:ascii="仿宋_GB2312" w:hAnsi="仿宋_GB2312" w:eastAsia="仿宋_GB2312" w:cs="仿宋_GB2312"/>
                <w:b w:val="0"/>
                <w:bCs/>
                <w:color w:val="auto"/>
                <w:sz w:val="24"/>
                <w:szCs w:val="24"/>
              </w:rPr>
              <w:t>项目的</w:t>
            </w:r>
            <w:r>
              <w:rPr>
                <w:rFonts w:hint="eastAsia" w:ascii="仿宋_GB2312" w:hAnsi="仿宋_GB2312" w:eastAsia="仿宋_GB2312" w:cs="仿宋_GB2312"/>
                <w:b w:val="0"/>
                <w:bCs/>
                <w:color w:val="auto"/>
                <w:sz w:val="24"/>
                <w:szCs w:val="24"/>
                <w:lang w:val="zh-CN"/>
              </w:rPr>
              <w:t>检验设备和检验人员</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val="zh-CN"/>
              </w:rPr>
              <w:t>委托检验的，提供含前述检验项目的委托检验协议</w:t>
            </w:r>
            <w:r>
              <w:rPr>
                <w:rFonts w:hint="eastAsia" w:ascii="仿宋_GB2312" w:hAnsi="仿宋_GB2312" w:cs="仿宋_GB2312"/>
                <w:b w:val="0"/>
                <w:bCs/>
                <w:color w:val="auto"/>
                <w:sz w:val="24"/>
                <w:szCs w:val="24"/>
                <w:lang w:val="zh-CN"/>
              </w:rPr>
              <w:t>，</w:t>
            </w:r>
            <w:r>
              <w:rPr>
                <w:rFonts w:hint="eastAsia" w:ascii="仿宋" w:hAnsi="仿宋" w:eastAsia="仿宋" w:cs="仿宋"/>
                <w:sz w:val="24"/>
                <w:szCs w:val="24"/>
                <w:lang w:val="zh-CN"/>
              </w:rPr>
              <w:t>协议检验频次应符合要求</w:t>
            </w:r>
            <w:r>
              <w:rPr>
                <w:rFonts w:hint="eastAsia" w:ascii="仿宋_GB2312" w:hAnsi="仿宋_GB2312" w:eastAsia="仿宋_GB2312" w:cs="仿宋_GB2312"/>
                <w:b w:val="0"/>
                <w:bCs/>
                <w:color w:val="auto"/>
                <w:sz w:val="24"/>
                <w:szCs w:val="24"/>
                <w:lang w:val="zh-CN"/>
              </w:rPr>
              <w:t>。</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7E1858B9">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50</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7F0638FE">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2640AC3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4892DDA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347EB8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211" w:type="dxa"/>
            <w:vMerge w:val="continue"/>
            <w:tcBorders>
              <w:left w:val="single" w:color="auto" w:sz="4" w:space="0"/>
              <w:right w:val="single" w:color="auto" w:sz="4" w:space="0"/>
            </w:tcBorders>
            <w:noWrap w:val="0"/>
            <w:vAlign w:val="center"/>
          </w:tcPr>
          <w:p w14:paraId="3563492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6034" w:type="dxa"/>
            <w:tcBorders>
              <w:top w:val="single" w:color="auto" w:sz="4" w:space="0"/>
              <w:left w:val="single" w:color="auto" w:sz="4" w:space="0"/>
              <w:bottom w:val="single" w:color="auto" w:sz="4" w:space="0"/>
              <w:right w:val="single" w:color="auto" w:sz="4" w:space="0"/>
            </w:tcBorders>
            <w:noWrap w:val="0"/>
            <w:vAlign w:val="center"/>
          </w:tcPr>
          <w:p w14:paraId="01580E0E">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lang w:val="zh-CN"/>
              </w:rPr>
            </w:pPr>
            <w:r>
              <w:rPr>
                <w:rFonts w:hint="eastAsia" w:ascii="仿宋_GB2312" w:hAnsi="仿宋_GB2312" w:eastAsia="仿宋_GB2312" w:cs="仿宋_GB2312"/>
                <w:b w:val="0"/>
                <w:bCs/>
                <w:color w:val="auto"/>
                <w:sz w:val="24"/>
                <w:szCs w:val="24"/>
              </w:rPr>
              <w:t>集</w:t>
            </w:r>
            <w:r>
              <w:rPr>
                <w:rFonts w:hint="eastAsia" w:ascii="仿宋_GB2312" w:hAnsi="仿宋_GB2312" w:cs="仿宋_GB2312"/>
                <w:b w:val="0"/>
                <w:bCs/>
                <w:color w:val="auto"/>
                <w:sz w:val="24"/>
                <w:szCs w:val="24"/>
                <w:lang w:eastAsia="zh-CN"/>
              </w:rPr>
              <w:t>体</w:t>
            </w:r>
            <w:r>
              <w:rPr>
                <w:rFonts w:hint="eastAsia" w:ascii="仿宋_GB2312" w:hAnsi="仿宋_GB2312" w:eastAsia="仿宋_GB2312" w:cs="仿宋_GB2312"/>
                <w:b w:val="0"/>
                <w:bCs/>
                <w:color w:val="auto"/>
                <w:sz w:val="24"/>
                <w:szCs w:val="24"/>
              </w:rPr>
              <w:t>用餐配送单位采用冷藏方式贮存的，配备</w:t>
            </w:r>
            <w:r>
              <w:rPr>
                <w:rFonts w:hint="eastAsia" w:ascii="仿宋_GB2312" w:hAnsi="仿宋_GB2312" w:cs="仿宋_GB2312"/>
                <w:b w:val="0"/>
                <w:bCs/>
                <w:color w:val="auto"/>
                <w:sz w:val="24"/>
                <w:szCs w:val="24"/>
                <w:lang w:val="en-US" w:eastAsia="zh-CN"/>
              </w:rPr>
              <w:t>2小时内将温度</w:t>
            </w:r>
            <w:r>
              <w:rPr>
                <w:rFonts w:hint="eastAsia" w:ascii="仿宋_GB2312" w:hAnsi="仿宋_GB2312" w:eastAsia="仿宋_GB2312" w:cs="仿宋_GB2312"/>
                <w:b w:val="0"/>
                <w:bCs/>
                <w:color w:val="auto"/>
                <w:sz w:val="24"/>
                <w:szCs w:val="24"/>
              </w:rPr>
              <w:t>降至</w:t>
            </w:r>
            <w:r>
              <w:rPr>
                <w:rFonts w:hint="eastAsia" w:ascii="仿宋_GB2312" w:hAnsi="仿宋_GB2312" w:eastAsia="仿宋_GB2312" w:cs="仿宋_GB2312"/>
                <w:b w:val="0"/>
                <w:bCs/>
                <w:color w:val="auto"/>
                <w:sz w:val="24"/>
                <w:szCs w:val="24"/>
                <w:lang w:val="en-US" w:eastAsia="zh-CN"/>
              </w:rPr>
              <w:t>0℃到8℃</w:t>
            </w:r>
            <w:r>
              <w:rPr>
                <w:rFonts w:hint="eastAsia" w:ascii="仿宋_GB2312" w:hAnsi="仿宋_GB2312" w:eastAsia="仿宋_GB2312" w:cs="仿宋_GB2312"/>
                <w:b w:val="0"/>
                <w:bCs/>
                <w:color w:val="auto"/>
                <w:sz w:val="24"/>
                <w:szCs w:val="24"/>
              </w:rPr>
              <w:t>的设备。</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2FDA9413">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51</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5088D24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4D96C32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49F2F23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r w14:paraId="41016E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1211" w:type="dxa"/>
            <w:tcBorders>
              <w:left w:val="single" w:color="auto" w:sz="4" w:space="0"/>
              <w:bottom w:val="single" w:color="auto" w:sz="4" w:space="0"/>
              <w:right w:val="single" w:color="auto" w:sz="4" w:space="0"/>
            </w:tcBorders>
            <w:noWrap w:val="0"/>
            <w:vAlign w:val="center"/>
          </w:tcPr>
          <w:p w14:paraId="0BC0056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12.</w:t>
            </w:r>
            <w:r>
              <w:rPr>
                <w:rFonts w:hint="eastAsia" w:ascii="仿宋_GB2312" w:hAnsi="仿宋_GB2312" w:eastAsia="仿宋_GB2312" w:cs="仿宋_GB2312"/>
                <w:b w:val="0"/>
                <w:bCs/>
                <w:color w:val="auto"/>
                <w:sz w:val="24"/>
                <w:szCs w:val="24"/>
              </w:rPr>
              <w:t>承包食堂</w:t>
            </w:r>
          </w:p>
        </w:tc>
        <w:tc>
          <w:tcPr>
            <w:tcW w:w="6034" w:type="dxa"/>
            <w:tcBorders>
              <w:top w:val="single" w:color="auto" w:sz="4" w:space="0"/>
              <w:left w:val="single" w:color="auto" w:sz="4" w:space="0"/>
              <w:bottom w:val="single" w:color="auto" w:sz="4" w:space="0"/>
              <w:right w:val="single" w:color="auto" w:sz="4" w:space="0"/>
            </w:tcBorders>
            <w:noWrap w:val="0"/>
            <w:vAlign w:val="center"/>
          </w:tcPr>
          <w:p w14:paraId="5ACD822A">
            <w:pPr>
              <w:pageBreakBefore w:val="0"/>
              <w:widowControl w:val="0"/>
              <w:kinsoku/>
              <w:wordWrap/>
              <w:overflowPunct/>
              <w:topLinePunct w:val="0"/>
              <w:autoSpaceDE/>
              <w:autoSpaceDN/>
              <w:bidi w:val="0"/>
              <w:adjustRightInd/>
              <w:spacing w:line="30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还应建立承包经营管理制度文本，内容包括：承包企业的食品经营许可情况、食品安全协议、评价和退出制度、承包企业食品安全义务和责任，对承包企业食品安全检查、违法行为制止及报告、应急管理措施等内容。</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4D2DE378">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52</w:t>
            </w:r>
          </w:p>
        </w:tc>
        <w:tc>
          <w:tcPr>
            <w:tcW w:w="555" w:type="dxa"/>
            <w:tcBorders>
              <w:top w:val="single" w:color="auto" w:sz="4" w:space="0"/>
              <w:left w:val="single" w:color="auto" w:sz="4" w:space="0"/>
              <w:bottom w:val="single" w:color="auto" w:sz="4" w:space="0"/>
              <w:right w:val="single" w:color="auto" w:sz="4" w:space="0"/>
            </w:tcBorders>
            <w:noWrap w:val="0"/>
            <w:vAlign w:val="center"/>
          </w:tcPr>
          <w:p w14:paraId="4BA92A49">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14:paraId="1D2F513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c>
          <w:tcPr>
            <w:tcW w:w="716" w:type="dxa"/>
            <w:tcBorders>
              <w:top w:val="single" w:color="auto" w:sz="4" w:space="0"/>
              <w:left w:val="single" w:color="auto" w:sz="4" w:space="0"/>
              <w:bottom w:val="single" w:color="auto" w:sz="4" w:space="0"/>
              <w:right w:val="single" w:color="auto" w:sz="4" w:space="0"/>
            </w:tcBorders>
            <w:noWrap w:val="0"/>
            <w:vAlign w:val="center"/>
          </w:tcPr>
          <w:p w14:paraId="1013C07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sz w:val="24"/>
                <w:szCs w:val="24"/>
              </w:rPr>
            </w:pPr>
          </w:p>
        </w:tc>
      </w:tr>
    </w:tbl>
    <w:p w14:paraId="4C7F659C">
      <w:pPr>
        <w:spacing w:line="580" w:lineRule="exact"/>
        <w:jc w:val="center"/>
        <w:rPr>
          <w:rFonts w:hint="eastAsia" w:ascii="仿宋_GB2312" w:hAnsi="仿宋_GB2312" w:cs="仿宋_GB2312"/>
          <w:color w:val="auto"/>
          <w:sz w:val="24"/>
        </w:rPr>
      </w:pPr>
    </w:p>
    <w:p w14:paraId="5FFF9779">
      <w:pPr>
        <w:spacing w:before="62" w:beforeLines="20" w:line="260" w:lineRule="exact"/>
        <w:rPr>
          <w:rFonts w:hint="eastAsia" w:ascii="仿宋_GB2312" w:hAnsi="仿宋_GB2312" w:cs="仿宋_GB2312"/>
          <w:color w:val="auto"/>
          <w:sz w:val="24"/>
        </w:rPr>
      </w:pPr>
    </w:p>
    <w:p w14:paraId="5201500A">
      <w:pPr>
        <w:pStyle w:val="7"/>
        <w:ind w:firstLine="480"/>
        <w:rPr>
          <w:rFonts w:hint="eastAsia" w:ascii="宋体" w:hAnsi="宋体" w:eastAsia="宋体"/>
          <w:color w:val="auto"/>
          <w:sz w:val="24"/>
          <w:szCs w:val="24"/>
        </w:rPr>
      </w:pPr>
    </w:p>
    <w:p w14:paraId="016E1123">
      <w:pPr>
        <w:pStyle w:val="7"/>
        <w:ind w:firstLine="480"/>
        <w:rPr>
          <w:rFonts w:hint="eastAsia" w:ascii="宋体" w:hAnsi="宋体" w:eastAsia="宋体"/>
          <w:color w:val="auto"/>
          <w:sz w:val="24"/>
          <w:szCs w:val="24"/>
        </w:rPr>
      </w:pPr>
    </w:p>
    <w:p w14:paraId="1DAA6A13">
      <w:pPr>
        <w:pStyle w:val="4"/>
        <w:rPr>
          <w:rFonts w:hint="eastAsia" w:ascii="宋体" w:hAnsi="宋体" w:eastAsia="宋体"/>
          <w:color w:val="auto"/>
          <w:sz w:val="24"/>
          <w:szCs w:val="24"/>
        </w:rPr>
      </w:pPr>
    </w:p>
    <w:p w14:paraId="2A67BA03">
      <w:pPr>
        <w:rPr>
          <w:rFonts w:hint="eastAsia" w:ascii="宋体" w:hAnsi="宋体" w:eastAsia="宋体"/>
          <w:color w:val="auto"/>
          <w:sz w:val="24"/>
          <w:szCs w:val="24"/>
        </w:rPr>
      </w:pPr>
    </w:p>
    <w:p w14:paraId="7A06C617">
      <w:pPr>
        <w:pStyle w:val="2"/>
        <w:rPr>
          <w:rFonts w:hint="eastAsia" w:ascii="宋体" w:hAnsi="宋体" w:eastAsia="宋体"/>
          <w:color w:val="auto"/>
          <w:sz w:val="24"/>
          <w:szCs w:val="24"/>
        </w:rPr>
      </w:pPr>
    </w:p>
    <w:p w14:paraId="555F7777">
      <w:pPr>
        <w:rPr>
          <w:rFonts w:hint="eastAsia"/>
        </w:rPr>
      </w:pPr>
    </w:p>
    <w:p w14:paraId="7DD7E93F">
      <w:pPr>
        <w:rPr>
          <w:rFonts w:hint="eastAsia" w:ascii="宋体" w:hAnsi="宋体" w:eastAsia="宋体"/>
          <w:color w:val="auto"/>
          <w:sz w:val="24"/>
          <w:szCs w:val="24"/>
        </w:rPr>
      </w:pPr>
    </w:p>
    <w:p w14:paraId="32B57250">
      <w:pPr>
        <w:pStyle w:val="2"/>
        <w:rPr>
          <w:rFonts w:hint="eastAsia" w:ascii="宋体" w:hAnsi="宋体" w:eastAsia="宋体"/>
          <w:color w:val="auto"/>
          <w:sz w:val="24"/>
          <w:szCs w:val="24"/>
        </w:rPr>
      </w:pPr>
    </w:p>
    <w:p w14:paraId="5C24D975">
      <w:pPr>
        <w:rPr>
          <w:rFonts w:hint="eastAsia" w:ascii="宋体" w:hAnsi="宋体" w:eastAsia="宋体"/>
          <w:color w:val="auto"/>
          <w:sz w:val="24"/>
          <w:szCs w:val="24"/>
        </w:rPr>
      </w:pPr>
    </w:p>
    <w:p w14:paraId="286ECC7B">
      <w:pPr>
        <w:pStyle w:val="2"/>
        <w:rPr>
          <w:rFonts w:hint="eastAsia" w:ascii="宋体" w:hAnsi="宋体" w:eastAsia="宋体"/>
          <w:color w:val="auto"/>
          <w:sz w:val="24"/>
          <w:szCs w:val="24"/>
        </w:rPr>
      </w:pPr>
    </w:p>
    <w:p w14:paraId="7C24B049">
      <w:pPr>
        <w:rPr>
          <w:rFonts w:hint="eastAsia" w:ascii="宋体" w:hAnsi="宋体" w:eastAsia="宋体"/>
          <w:color w:val="auto"/>
          <w:sz w:val="24"/>
          <w:szCs w:val="24"/>
        </w:rPr>
      </w:pPr>
    </w:p>
    <w:p w14:paraId="04F94F68">
      <w:pPr>
        <w:pStyle w:val="2"/>
        <w:rPr>
          <w:rFonts w:hint="eastAsia" w:ascii="宋体" w:hAnsi="宋体" w:eastAsia="宋体"/>
          <w:color w:val="auto"/>
          <w:sz w:val="24"/>
          <w:szCs w:val="24"/>
        </w:rPr>
      </w:pPr>
    </w:p>
    <w:p w14:paraId="114AF9FF">
      <w:pPr>
        <w:rPr>
          <w:rFonts w:hint="eastAsia"/>
        </w:rPr>
      </w:pPr>
    </w:p>
    <w:p w14:paraId="7CCF5F7D">
      <w:pPr>
        <w:spacing w:line="580" w:lineRule="exact"/>
        <w:jc w:val="center"/>
        <w:rPr>
          <w:rFonts w:hint="eastAsia" w:ascii="方正小标宋简体" w:hAnsi="华文中宋" w:eastAsia="方正小标宋简体"/>
          <w:color w:val="auto"/>
          <w:szCs w:val="32"/>
        </w:rPr>
      </w:pPr>
    </w:p>
    <w:p w14:paraId="4CAC5FFA">
      <w:pPr>
        <w:spacing w:line="580" w:lineRule="exact"/>
        <w:jc w:val="center"/>
        <w:rPr>
          <w:rFonts w:hint="eastAsia" w:ascii="方正小标宋简体" w:hAnsi="华文中宋" w:eastAsia="方正小标宋简体"/>
          <w:color w:val="auto"/>
          <w:szCs w:val="32"/>
          <w:lang w:eastAsia="zh-CN"/>
        </w:rPr>
      </w:pPr>
      <w:r>
        <w:rPr>
          <w:rFonts w:hint="eastAsia" w:ascii="方正小标宋简体" w:hAnsi="华文中宋" w:eastAsia="方正小标宋简体"/>
          <w:color w:val="auto"/>
          <w:szCs w:val="32"/>
        </w:rPr>
        <w:t>第</w:t>
      </w:r>
      <w:r>
        <w:rPr>
          <w:rFonts w:hint="eastAsia" w:ascii="方正小标宋简体" w:hAnsi="华文中宋" w:eastAsia="方正小标宋简体"/>
          <w:color w:val="auto"/>
          <w:szCs w:val="32"/>
          <w:lang w:eastAsia="zh-CN"/>
        </w:rPr>
        <w:t>三</w:t>
      </w:r>
      <w:r>
        <w:rPr>
          <w:rFonts w:hint="eastAsia" w:ascii="方正小标宋简体" w:hAnsi="华文中宋" w:eastAsia="方正小标宋简体"/>
          <w:color w:val="auto"/>
          <w:szCs w:val="32"/>
        </w:rPr>
        <w:t>类</w:t>
      </w:r>
      <w:r>
        <w:rPr>
          <w:rFonts w:ascii="方正小标宋简体" w:hAnsi="华文中宋" w:eastAsia="方正小标宋简体"/>
          <w:color w:val="auto"/>
          <w:szCs w:val="32"/>
        </w:rPr>
        <w:t xml:space="preserve"> </w:t>
      </w:r>
      <w:r>
        <w:rPr>
          <w:rFonts w:hint="eastAsia" w:ascii="方正小标宋简体" w:hAnsi="华文中宋" w:eastAsia="方正小标宋简体"/>
          <w:color w:val="auto"/>
          <w:szCs w:val="32"/>
        </w:rPr>
        <w:t>食品经营许可现场核查</w:t>
      </w:r>
      <w:r>
        <w:rPr>
          <w:rFonts w:hint="eastAsia" w:ascii="方正小标宋简体" w:hAnsi="华文中宋" w:eastAsia="方正小标宋简体"/>
          <w:color w:val="auto"/>
          <w:szCs w:val="32"/>
          <w:lang w:eastAsia="zh-CN"/>
        </w:rPr>
        <w:t>内容</w:t>
      </w:r>
    </w:p>
    <w:p w14:paraId="57AB5CB6">
      <w:pPr>
        <w:spacing w:line="580" w:lineRule="exact"/>
        <w:jc w:val="center"/>
        <w:rPr>
          <w:rFonts w:ascii="楷体" w:hAnsi="楷体" w:eastAsia="楷体"/>
          <w:b/>
          <w:color w:val="auto"/>
          <w:szCs w:val="32"/>
        </w:rPr>
      </w:pPr>
      <w:r>
        <w:rPr>
          <w:rFonts w:hint="eastAsia" w:ascii="楷体" w:hAnsi="楷体" w:eastAsia="楷体"/>
          <w:color w:val="auto"/>
          <w:szCs w:val="32"/>
        </w:rPr>
        <w:t>（适用于</w:t>
      </w:r>
      <w:r>
        <w:rPr>
          <w:rFonts w:hint="eastAsia" w:ascii="楷体" w:hAnsi="楷体" w:eastAsia="楷体"/>
          <w:color w:val="auto"/>
          <w:kern w:val="0"/>
          <w:szCs w:val="32"/>
        </w:rPr>
        <w:t>小餐饮</w:t>
      </w:r>
      <w:r>
        <w:rPr>
          <w:rFonts w:hint="eastAsia" w:ascii="楷体" w:hAnsi="楷体" w:eastAsia="楷体"/>
          <w:color w:val="auto"/>
          <w:szCs w:val="32"/>
        </w:rPr>
        <w:t>）</w:t>
      </w:r>
    </w:p>
    <w:p w14:paraId="4CBC21DC">
      <w:pPr>
        <w:spacing w:line="580" w:lineRule="exact"/>
        <w:rPr>
          <w:rFonts w:ascii="仿宋_GB2312" w:hAnsi="宋体"/>
          <w:color w:val="auto"/>
          <w:szCs w:val="32"/>
        </w:rPr>
      </w:pPr>
    </w:p>
    <w:p w14:paraId="416625DC">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经营者名称：                                    地    址：                                  </w:t>
      </w:r>
    </w:p>
    <w:p w14:paraId="044E523A">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申请经营业态：                                  申请经营项目：                </w:t>
      </w:r>
    </w:p>
    <w:p w14:paraId="4AACFB32">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                                                           </w:t>
      </w:r>
    </w:p>
    <w:tbl>
      <w:tblPr>
        <w:tblStyle w:val="5"/>
        <w:tblpPr w:leftFromText="180" w:rightFromText="180" w:vertAnchor="text" w:horzAnchor="margin" w:tblpXSpec="center" w:tblpY="2"/>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592"/>
        <w:gridCol w:w="600"/>
        <w:gridCol w:w="600"/>
        <w:gridCol w:w="705"/>
        <w:gridCol w:w="636"/>
      </w:tblGrid>
      <w:tr w14:paraId="069AB8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500" w:type="dxa"/>
            <w:vMerge w:val="restart"/>
            <w:noWrap w:val="0"/>
            <w:vAlign w:val="center"/>
          </w:tcPr>
          <w:p w14:paraId="63F3F43E">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核查内容</w:t>
            </w:r>
          </w:p>
        </w:tc>
        <w:tc>
          <w:tcPr>
            <w:tcW w:w="5592" w:type="dxa"/>
            <w:vMerge w:val="restart"/>
            <w:noWrap w:val="0"/>
            <w:vAlign w:val="center"/>
          </w:tcPr>
          <w:p w14:paraId="55880371">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核查和评价方法</w:t>
            </w:r>
          </w:p>
        </w:tc>
        <w:tc>
          <w:tcPr>
            <w:tcW w:w="600" w:type="dxa"/>
            <w:vMerge w:val="restart"/>
            <w:noWrap w:val="0"/>
            <w:vAlign w:val="center"/>
          </w:tcPr>
          <w:p w14:paraId="52E3BF38">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序</w:t>
            </w:r>
            <w:r>
              <w:rPr>
                <w:rFonts w:hint="eastAsia" w:ascii="宋体" w:hAnsi="宋体" w:eastAsia="宋体" w:cs="宋体"/>
                <w:b/>
                <w:bCs w:val="0"/>
                <w:color w:val="auto"/>
                <w:sz w:val="24"/>
                <w:szCs w:val="24"/>
              </w:rPr>
              <w:t>号</w:t>
            </w:r>
          </w:p>
        </w:tc>
        <w:tc>
          <w:tcPr>
            <w:tcW w:w="1941" w:type="dxa"/>
            <w:gridSpan w:val="3"/>
            <w:noWrap w:val="0"/>
            <w:vAlign w:val="center"/>
          </w:tcPr>
          <w:p w14:paraId="0FAEA571">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结果判定</w:t>
            </w:r>
          </w:p>
        </w:tc>
      </w:tr>
      <w:tr w14:paraId="259CF1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500" w:type="dxa"/>
            <w:vMerge w:val="continue"/>
            <w:noWrap w:val="0"/>
            <w:vAlign w:val="center"/>
          </w:tcPr>
          <w:p w14:paraId="006A5000">
            <w:pPr>
              <w:spacing w:line="340" w:lineRule="exact"/>
              <w:rPr>
                <w:rFonts w:hint="eastAsia" w:ascii="宋体" w:hAnsi="宋体" w:eastAsia="宋体" w:cs="宋体"/>
                <w:b/>
                <w:bCs w:val="0"/>
                <w:color w:val="auto"/>
                <w:sz w:val="24"/>
                <w:szCs w:val="24"/>
              </w:rPr>
            </w:pPr>
          </w:p>
        </w:tc>
        <w:tc>
          <w:tcPr>
            <w:tcW w:w="5592" w:type="dxa"/>
            <w:vMerge w:val="continue"/>
            <w:noWrap w:val="0"/>
            <w:vAlign w:val="center"/>
          </w:tcPr>
          <w:p w14:paraId="04BAD54C">
            <w:pPr>
              <w:spacing w:line="340" w:lineRule="exact"/>
              <w:rPr>
                <w:rFonts w:hint="eastAsia" w:ascii="宋体" w:hAnsi="宋体" w:eastAsia="宋体" w:cs="宋体"/>
                <w:b/>
                <w:bCs w:val="0"/>
                <w:color w:val="auto"/>
                <w:sz w:val="24"/>
                <w:szCs w:val="24"/>
              </w:rPr>
            </w:pPr>
          </w:p>
        </w:tc>
        <w:tc>
          <w:tcPr>
            <w:tcW w:w="600" w:type="dxa"/>
            <w:vMerge w:val="continue"/>
            <w:noWrap w:val="0"/>
            <w:vAlign w:val="center"/>
          </w:tcPr>
          <w:p w14:paraId="699E2E6F">
            <w:pPr>
              <w:spacing w:line="340" w:lineRule="exact"/>
              <w:jc w:val="center"/>
              <w:rPr>
                <w:rFonts w:hint="eastAsia" w:ascii="宋体" w:hAnsi="宋体" w:eastAsia="宋体" w:cs="宋体"/>
                <w:b/>
                <w:bCs w:val="0"/>
                <w:color w:val="auto"/>
                <w:sz w:val="24"/>
                <w:szCs w:val="24"/>
              </w:rPr>
            </w:pPr>
          </w:p>
        </w:tc>
        <w:tc>
          <w:tcPr>
            <w:tcW w:w="600" w:type="dxa"/>
            <w:noWrap w:val="0"/>
            <w:vAlign w:val="center"/>
          </w:tcPr>
          <w:p w14:paraId="728CBAA7">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符合</w:t>
            </w:r>
          </w:p>
        </w:tc>
        <w:tc>
          <w:tcPr>
            <w:tcW w:w="705" w:type="dxa"/>
            <w:noWrap w:val="0"/>
            <w:vAlign w:val="center"/>
          </w:tcPr>
          <w:p w14:paraId="26EDB7C2">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不符合</w:t>
            </w:r>
          </w:p>
        </w:tc>
        <w:tc>
          <w:tcPr>
            <w:tcW w:w="636" w:type="dxa"/>
            <w:noWrap w:val="0"/>
            <w:vAlign w:val="center"/>
          </w:tcPr>
          <w:p w14:paraId="368C1FE0">
            <w:pPr>
              <w:spacing w:line="340" w:lineRule="exact"/>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合理缺项</w:t>
            </w:r>
          </w:p>
        </w:tc>
      </w:tr>
      <w:tr w14:paraId="6F824B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jc w:val="center"/>
        </w:trPr>
        <w:tc>
          <w:tcPr>
            <w:tcW w:w="1500" w:type="dxa"/>
            <w:vMerge w:val="restart"/>
            <w:noWrap w:val="0"/>
            <w:vAlign w:val="center"/>
          </w:tcPr>
          <w:p w14:paraId="6D76C49A">
            <w:pPr>
              <w:snapToGrid w:val="0"/>
              <w:spacing w:line="300" w:lineRule="exact"/>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1.选址</w:t>
            </w:r>
            <w:r>
              <w:rPr>
                <w:rFonts w:hint="eastAsia" w:ascii="仿宋_GB2312" w:hAnsi="仿宋_GB2312" w:cs="仿宋_GB2312"/>
                <w:b w:val="0"/>
                <w:bCs/>
                <w:color w:val="auto"/>
                <w:sz w:val="24"/>
                <w:szCs w:val="24"/>
                <w:lang w:eastAsia="zh-CN"/>
              </w:rPr>
              <w:t>及场所设置</w:t>
            </w:r>
          </w:p>
        </w:tc>
        <w:tc>
          <w:tcPr>
            <w:tcW w:w="5592" w:type="dxa"/>
            <w:noWrap w:val="0"/>
            <w:vAlign w:val="center"/>
          </w:tcPr>
          <w:p w14:paraId="5399C7DD">
            <w:pPr>
              <w:snapToGrid w:val="0"/>
              <w:spacing w:line="300" w:lineRule="exact"/>
              <w:rPr>
                <w:rFonts w:hint="eastAsia"/>
              </w:rPr>
            </w:pPr>
            <w:r>
              <w:rPr>
                <w:rFonts w:hint="eastAsia" w:ascii="仿宋_GB2312" w:hAnsi="仿宋_GB2312" w:eastAsia="仿宋_GB2312" w:cs="仿宋_GB2312"/>
                <w:b w:val="0"/>
                <w:bCs/>
                <w:color w:val="auto"/>
                <w:sz w:val="24"/>
                <w:szCs w:val="24"/>
              </w:rPr>
              <w:t>选择有给排水条件</w:t>
            </w:r>
            <w:r>
              <w:rPr>
                <w:rFonts w:hint="eastAsia" w:ascii="仿宋_GB2312" w:hAnsi="仿宋_GB2312" w:cs="仿宋_GB2312"/>
                <w:b w:val="0"/>
                <w:bCs/>
                <w:color w:val="auto"/>
                <w:sz w:val="24"/>
                <w:szCs w:val="24"/>
                <w:lang w:eastAsia="zh-CN"/>
              </w:rPr>
              <w:t>（设施）和电</w:t>
            </w:r>
            <w:r>
              <w:rPr>
                <w:rFonts w:hint="eastAsia" w:ascii="仿宋_GB2312" w:hAnsi="仿宋_GB2312" w:cs="仿宋_GB2312"/>
                <w:b w:val="0"/>
                <w:bCs/>
                <w:color w:val="auto"/>
                <w:sz w:val="24"/>
                <w:szCs w:val="24"/>
                <w:lang w:val="en-US" w:eastAsia="zh-CN"/>
              </w:rPr>
              <w:t>力</w:t>
            </w:r>
            <w:r>
              <w:rPr>
                <w:rFonts w:hint="eastAsia" w:ascii="仿宋_GB2312" w:hAnsi="仿宋_GB2312" w:cs="仿宋_GB2312"/>
                <w:b w:val="0"/>
                <w:bCs/>
                <w:color w:val="auto"/>
                <w:sz w:val="24"/>
                <w:szCs w:val="24"/>
                <w:lang w:eastAsia="zh-CN"/>
              </w:rPr>
              <w:t>供应</w:t>
            </w:r>
            <w:r>
              <w:rPr>
                <w:rFonts w:hint="eastAsia" w:ascii="仿宋_GB2312" w:hAnsi="仿宋_GB2312" w:eastAsia="仿宋_GB2312" w:cs="仿宋_GB2312"/>
                <w:b w:val="0"/>
                <w:bCs/>
                <w:color w:val="auto"/>
                <w:sz w:val="24"/>
                <w:szCs w:val="24"/>
              </w:rPr>
              <w:t>的地区，不得设在易受到污染的区域。</w:t>
            </w:r>
            <w:r>
              <w:rPr>
                <w:rFonts w:hint="eastAsia" w:ascii="仿宋_GB2312" w:hAnsi="仿宋_GB2312" w:cs="仿宋_GB2312"/>
                <w:sz w:val="24"/>
              </w:rPr>
              <w:t>距离粪坑、污水池、暴露垃圾场（站）、旱厕等污染源25m以上，并设置在粉尘、有害气体、放射性物质和其他扩散性污染源的影响范围之外。</w:t>
            </w:r>
          </w:p>
        </w:tc>
        <w:tc>
          <w:tcPr>
            <w:tcW w:w="600" w:type="dxa"/>
            <w:noWrap w:val="0"/>
            <w:vAlign w:val="center"/>
          </w:tcPr>
          <w:p w14:paraId="49BD70F1">
            <w:pPr>
              <w:snapToGrid w:val="0"/>
              <w:spacing w:line="300" w:lineRule="exact"/>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w:t>
            </w:r>
          </w:p>
        </w:tc>
        <w:tc>
          <w:tcPr>
            <w:tcW w:w="600" w:type="dxa"/>
            <w:noWrap w:val="0"/>
            <w:vAlign w:val="center"/>
          </w:tcPr>
          <w:p w14:paraId="6B0B94D4">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3477B921">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2D064D7">
            <w:pPr>
              <w:snapToGrid w:val="0"/>
              <w:spacing w:line="300" w:lineRule="exact"/>
              <w:rPr>
                <w:rFonts w:hint="eastAsia" w:ascii="仿宋_GB2312" w:hAnsi="仿宋_GB2312" w:eastAsia="仿宋_GB2312" w:cs="仿宋_GB2312"/>
                <w:b w:val="0"/>
                <w:bCs/>
                <w:color w:val="auto"/>
                <w:sz w:val="24"/>
                <w:szCs w:val="24"/>
              </w:rPr>
            </w:pPr>
          </w:p>
        </w:tc>
      </w:tr>
      <w:tr w14:paraId="2A13FD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00" w:type="dxa"/>
            <w:vMerge w:val="continue"/>
            <w:noWrap w:val="0"/>
            <w:vAlign w:val="center"/>
          </w:tcPr>
          <w:p w14:paraId="4711AEAA">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2E965278">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食品原料处理和食品加工、销售、贮存等场所环境整洁。</w:t>
            </w:r>
          </w:p>
        </w:tc>
        <w:tc>
          <w:tcPr>
            <w:tcW w:w="600" w:type="dxa"/>
            <w:noWrap w:val="0"/>
            <w:vAlign w:val="center"/>
          </w:tcPr>
          <w:p w14:paraId="653E5227">
            <w:pPr>
              <w:snapToGrid w:val="0"/>
              <w:spacing w:line="300" w:lineRule="exact"/>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w:t>
            </w:r>
          </w:p>
        </w:tc>
        <w:tc>
          <w:tcPr>
            <w:tcW w:w="600" w:type="dxa"/>
            <w:noWrap w:val="0"/>
            <w:vAlign w:val="center"/>
          </w:tcPr>
          <w:p w14:paraId="79610B03">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6A37A42">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C7B552A">
            <w:pPr>
              <w:snapToGrid w:val="0"/>
              <w:spacing w:line="300" w:lineRule="exact"/>
              <w:rPr>
                <w:rFonts w:hint="eastAsia" w:ascii="仿宋_GB2312" w:hAnsi="仿宋_GB2312" w:eastAsia="仿宋_GB2312" w:cs="仿宋_GB2312"/>
                <w:b w:val="0"/>
                <w:bCs/>
                <w:color w:val="auto"/>
                <w:sz w:val="24"/>
                <w:szCs w:val="24"/>
              </w:rPr>
            </w:pPr>
          </w:p>
        </w:tc>
      </w:tr>
      <w:tr w14:paraId="532764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500" w:type="dxa"/>
            <w:vMerge w:val="continue"/>
            <w:noWrap w:val="0"/>
            <w:vAlign w:val="center"/>
          </w:tcPr>
          <w:p w14:paraId="4A91480C">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10CEF10A">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经营场所</w:t>
            </w:r>
            <w:r>
              <w:rPr>
                <w:rFonts w:hint="eastAsia" w:ascii="仿宋_GB2312" w:hAnsi="仿宋_GB2312" w:eastAsia="仿宋_GB2312" w:cs="仿宋_GB2312"/>
                <w:b w:val="0"/>
                <w:bCs/>
                <w:color w:val="auto"/>
                <w:sz w:val="24"/>
                <w:szCs w:val="24"/>
              </w:rPr>
              <w:t>实际面积、设备设施布局及流程与申报面积及图纸相一致。</w:t>
            </w:r>
          </w:p>
        </w:tc>
        <w:tc>
          <w:tcPr>
            <w:tcW w:w="600" w:type="dxa"/>
            <w:noWrap w:val="0"/>
            <w:vAlign w:val="center"/>
          </w:tcPr>
          <w:p w14:paraId="3F05C7D3">
            <w:pPr>
              <w:snapToGrid w:val="0"/>
              <w:spacing w:line="300" w:lineRule="exact"/>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3</w:t>
            </w:r>
          </w:p>
        </w:tc>
        <w:tc>
          <w:tcPr>
            <w:tcW w:w="600" w:type="dxa"/>
            <w:noWrap w:val="0"/>
            <w:vAlign w:val="center"/>
          </w:tcPr>
          <w:p w14:paraId="34E82A5D">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D6FEC5F">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4CC7C4D">
            <w:pPr>
              <w:snapToGrid w:val="0"/>
              <w:spacing w:line="300" w:lineRule="exact"/>
              <w:rPr>
                <w:rFonts w:hint="eastAsia" w:ascii="仿宋_GB2312" w:hAnsi="仿宋_GB2312" w:eastAsia="仿宋_GB2312" w:cs="仿宋_GB2312"/>
                <w:b w:val="0"/>
                <w:bCs/>
                <w:color w:val="auto"/>
                <w:sz w:val="24"/>
                <w:szCs w:val="24"/>
              </w:rPr>
            </w:pPr>
          </w:p>
        </w:tc>
      </w:tr>
      <w:tr w14:paraId="14613D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500" w:type="dxa"/>
            <w:vMerge w:val="continue"/>
            <w:noWrap w:val="0"/>
            <w:vAlign w:val="center"/>
          </w:tcPr>
          <w:p w14:paraId="31CAA00D">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1E22D52C">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设置与食品供应方式和品种相适应的初加工、半成品制作、成品加工、餐具与工用具（含容器）清洗消毒、原料存放、售卖等功能区。食品加工处理各功能区均在室内。</w:t>
            </w:r>
          </w:p>
        </w:tc>
        <w:tc>
          <w:tcPr>
            <w:tcW w:w="600" w:type="dxa"/>
            <w:noWrap w:val="0"/>
            <w:vAlign w:val="center"/>
          </w:tcPr>
          <w:p w14:paraId="18580BD2">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4</w:t>
            </w:r>
          </w:p>
        </w:tc>
        <w:tc>
          <w:tcPr>
            <w:tcW w:w="600" w:type="dxa"/>
            <w:noWrap w:val="0"/>
            <w:vAlign w:val="center"/>
          </w:tcPr>
          <w:p w14:paraId="65C70149">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A260681">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8CB7CFF">
            <w:pPr>
              <w:snapToGrid w:val="0"/>
              <w:spacing w:line="300" w:lineRule="exact"/>
              <w:rPr>
                <w:rFonts w:hint="eastAsia" w:ascii="仿宋_GB2312" w:hAnsi="仿宋_GB2312" w:eastAsia="仿宋_GB2312" w:cs="仿宋_GB2312"/>
                <w:b w:val="0"/>
                <w:bCs/>
                <w:color w:val="auto"/>
                <w:sz w:val="24"/>
                <w:szCs w:val="24"/>
              </w:rPr>
            </w:pPr>
          </w:p>
        </w:tc>
      </w:tr>
      <w:tr w14:paraId="1DD89B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500" w:type="dxa"/>
            <w:vMerge w:val="continue"/>
            <w:noWrap w:val="0"/>
            <w:vAlign w:val="center"/>
          </w:tcPr>
          <w:p w14:paraId="36DEEF5E">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781E8B37">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各功能区分区较为明确，基本按照原料进入、原料处理、半成品加工、成品供应的顺序合理布局。糕点成品存放场所（或区域）应与其他场所相对分开。</w:t>
            </w:r>
          </w:p>
        </w:tc>
        <w:tc>
          <w:tcPr>
            <w:tcW w:w="600" w:type="dxa"/>
            <w:noWrap w:val="0"/>
            <w:vAlign w:val="center"/>
          </w:tcPr>
          <w:p w14:paraId="4511B44E">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5</w:t>
            </w:r>
          </w:p>
        </w:tc>
        <w:tc>
          <w:tcPr>
            <w:tcW w:w="600" w:type="dxa"/>
            <w:noWrap w:val="0"/>
            <w:vAlign w:val="center"/>
          </w:tcPr>
          <w:p w14:paraId="178301FC">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66C56E0B">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795C1727">
            <w:pPr>
              <w:snapToGrid w:val="0"/>
              <w:spacing w:line="300" w:lineRule="exact"/>
              <w:rPr>
                <w:rFonts w:hint="eastAsia" w:ascii="仿宋_GB2312" w:hAnsi="仿宋_GB2312" w:eastAsia="仿宋_GB2312" w:cs="仿宋_GB2312"/>
                <w:b w:val="0"/>
                <w:bCs/>
                <w:color w:val="auto"/>
                <w:sz w:val="24"/>
                <w:szCs w:val="24"/>
              </w:rPr>
            </w:pPr>
          </w:p>
        </w:tc>
      </w:tr>
      <w:tr w14:paraId="7C6768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500" w:type="dxa"/>
            <w:vMerge w:val="continue"/>
            <w:noWrap w:val="0"/>
            <w:vAlign w:val="center"/>
          </w:tcPr>
          <w:p w14:paraId="0A151C6A">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0880361A">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餐饮服务场所有有效防蝇、防虫、防鼠设施</w:t>
            </w:r>
            <w:r>
              <w:rPr>
                <w:rFonts w:hint="eastAsia" w:ascii="仿宋_GB2312" w:hAnsi="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与外界相通的通风口、换气窗外应加装不小于16目的防虫筛网。与外界相通的排水管道出水口篦子使用金属材料，缝隙小于10mm。</w:t>
            </w:r>
          </w:p>
        </w:tc>
        <w:tc>
          <w:tcPr>
            <w:tcW w:w="600" w:type="dxa"/>
            <w:noWrap w:val="0"/>
            <w:vAlign w:val="center"/>
          </w:tcPr>
          <w:p w14:paraId="6D275589">
            <w:pPr>
              <w:snapToGrid w:val="0"/>
              <w:spacing w:line="300" w:lineRule="exact"/>
              <w:jc w:val="center"/>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6</w:t>
            </w:r>
          </w:p>
        </w:tc>
        <w:tc>
          <w:tcPr>
            <w:tcW w:w="600" w:type="dxa"/>
            <w:noWrap w:val="0"/>
            <w:vAlign w:val="center"/>
          </w:tcPr>
          <w:p w14:paraId="2B27A719">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305729FB">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098E6DAE">
            <w:pPr>
              <w:snapToGrid w:val="0"/>
              <w:spacing w:line="300" w:lineRule="exact"/>
              <w:rPr>
                <w:rFonts w:hint="eastAsia" w:ascii="仿宋_GB2312" w:hAnsi="仿宋_GB2312" w:eastAsia="仿宋_GB2312" w:cs="仿宋_GB2312"/>
                <w:b w:val="0"/>
                <w:bCs/>
                <w:color w:val="auto"/>
                <w:sz w:val="24"/>
                <w:szCs w:val="24"/>
              </w:rPr>
            </w:pPr>
          </w:p>
        </w:tc>
      </w:tr>
      <w:tr w14:paraId="3FAA2E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500" w:type="dxa"/>
            <w:vMerge w:val="restart"/>
            <w:noWrap w:val="0"/>
            <w:vAlign w:val="center"/>
          </w:tcPr>
          <w:p w14:paraId="7847CF49">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2</w:t>
            </w:r>
            <w:r>
              <w:rPr>
                <w:rFonts w:hint="eastAsia" w:ascii="仿宋_GB2312" w:hAnsi="仿宋_GB2312" w:eastAsia="仿宋_GB2312" w:cs="仿宋_GB2312"/>
                <w:b w:val="0"/>
                <w:bCs/>
                <w:color w:val="auto"/>
                <w:sz w:val="24"/>
                <w:szCs w:val="24"/>
              </w:rPr>
              <w:t>.食品处理区</w:t>
            </w:r>
          </w:p>
        </w:tc>
        <w:tc>
          <w:tcPr>
            <w:tcW w:w="5592" w:type="dxa"/>
            <w:noWrap w:val="0"/>
            <w:vAlign w:val="center"/>
          </w:tcPr>
          <w:p w14:paraId="6C78FDE2">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地面平整、光滑、无裂缝。</w:t>
            </w:r>
            <w:r>
              <w:rPr>
                <w:rFonts w:hint="eastAsia" w:ascii="仿宋_GB2312" w:hAnsi="仿宋_GB2312" w:cs="仿宋_GB2312"/>
                <w:b w:val="0"/>
                <w:bCs/>
                <w:color w:val="auto"/>
                <w:sz w:val="24"/>
                <w:szCs w:val="24"/>
                <w:lang w:eastAsia="zh-CN"/>
              </w:rPr>
              <w:t>初加工</w:t>
            </w:r>
            <w:r>
              <w:rPr>
                <w:rFonts w:hint="eastAsia" w:ascii="仿宋_GB2312" w:hAnsi="仿宋_GB2312" w:eastAsia="仿宋_GB2312" w:cs="仿宋_GB2312"/>
                <w:b w:val="0"/>
                <w:bCs/>
                <w:color w:val="auto"/>
                <w:sz w:val="24"/>
                <w:szCs w:val="24"/>
              </w:rPr>
              <w:t>、餐具与工用具清洗消毒等场所有给排水系统。</w:t>
            </w:r>
          </w:p>
        </w:tc>
        <w:tc>
          <w:tcPr>
            <w:tcW w:w="600" w:type="dxa"/>
            <w:noWrap w:val="0"/>
            <w:vAlign w:val="center"/>
          </w:tcPr>
          <w:p w14:paraId="1B89760F">
            <w:pPr>
              <w:snapToGrid w:val="0"/>
              <w:spacing w:line="300" w:lineRule="exact"/>
              <w:jc w:val="center"/>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7</w:t>
            </w:r>
          </w:p>
        </w:tc>
        <w:tc>
          <w:tcPr>
            <w:tcW w:w="600" w:type="dxa"/>
            <w:noWrap w:val="0"/>
            <w:vAlign w:val="center"/>
          </w:tcPr>
          <w:p w14:paraId="1B3ED3C3">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6417D26F">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5324E20F">
            <w:pPr>
              <w:snapToGrid w:val="0"/>
              <w:spacing w:line="300" w:lineRule="exact"/>
              <w:rPr>
                <w:rFonts w:hint="eastAsia" w:ascii="仿宋_GB2312" w:hAnsi="仿宋_GB2312" w:eastAsia="仿宋_GB2312" w:cs="仿宋_GB2312"/>
                <w:b w:val="0"/>
                <w:bCs/>
                <w:color w:val="auto"/>
                <w:sz w:val="24"/>
                <w:szCs w:val="24"/>
              </w:rPr>
            </w:pPr>
          </w:p>
        </w:tc>
      </w:tr>
      <w:tr w14:paraId="37D8C2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500" w:type="dxa"/>
            <w:vMerge w:val="continue"/>
            <w:noWrap w:val="0"/>
            <w:vAlign w:val="center"/>
          </w:tcPr>
          <w:p w14:paraId="4FAA480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2FB6E98C">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墙壁应采用无毒、无异味、不易积垢、易清洗的材料制成，</w:t>
            </w:r>
            <w:r>
              <w:rPr>
                <w:rFonts w:hint="eastAsia" w:ascii="仿宋_GB2312" w:hAnsi="仿宋_GB2312" w:cs="仿宋_GB2312"/>
                <w:b w:val="0"/>
                <w:bCs/>
                <w:color w:val="auto"/>
                <w:sz w:val="24"/>
                <w:szCs w:val="24"/>
                <w:lang w:val="zh-CN"/>
              </w:rPr>
              <w:t>初加工</w:t>
            </w:r>
            <w:r>
              <w:rPr>
                <w:rFonts w:hint="eastAsia" w:ascii="仿宋_GB2312" w:hAnsi="仿宋_GB2312" w:eastAsia="仿宋_GB2312" w:cs="仿宋_GB2312"/>
                <w:b w:val="0"/>
                <w:bCs/>
                <w:color w:val="auto"/>
                <w:sz w:val="24"/>
                <w:szCs w:val="24"/>
              </w:rPr>
              <w:t>、半成品制作、餐具与用具清洗消毒</w:t>
            </w:r>
            <w:r>
              <w:rPr>
                <w:rFonts w:hint="eastAsia" w:ascii="仿宋_GB2312" w:hAnsi="仿宋_GB2312" w:cs="仿宋_GB2312"/>
                <w:b w:val="0"/>
                <w:bCs/>
                <w:color w:val="auto"/>
                <w:sz w:val="24"/>
                <w:szCs w:val="24"/>
                <w:lang w:eastAsia="zh-CN"/>
              </w:rPr>
              <w:t>和烹饪</w:t>
            </w:r>
            <w:r>
              <w:rPr>
                <w:rFonts w:hint="eastAsia" w:ascii="仿宋_GB2312" w:hAnsi="仿宋_GB2312" w:eastAsia="仿宋_GB2312" w:cs="仿宋_GB2312"/>
                <w:b w:val="0"/>
                <w:bCs/>
                <w:color w:val="auto"/>
                <w:sz w:val="24"/>
                <w:szCs w:val="24"/>
              </w:rPr>
              <w:t>场所有1.5m以上光滑、不吸水、浅色、耐用和易清洗的材料制成的墙裙。</w:t>
            </w:r>
          </w:p>
        </w:tc>
        <w:tc>
          <w:tcPr>
            <w:tcW w:w="600" w:type="dxa"/>
            <w:noWrap w:val="0"/>
            <w:vAlign w:val="center"/>
          </w:tcPr>
          <w:p w14:paraId="6D988E73">
            <w:pPr>
              <w:snapToGrid w:val="0"/>
              <w:spacing w:line="300" w:lineRule="exact"/>
              <w:jc w:val="center"/>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8</w:t>
            </w:r>
          </w:p>
        </w:tc>
        <w:tc>
          <w:tcPr>
            <w:tcW w:w="600" w:type="dxa"/>
            <w:noWrap w:val="0"/>
            <w:vAlign w:val="center"/>
          </w:tcPr>
          <w:p w14:paraId="509F06C3">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05E1F9F6">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4FAF4DB9">
            <w:pPr>
              <w:snapToGrid w:val="0"/>
              <w:spacing w:line="300" w:lineRule="exact"/>
              <w:rPr>
                <w:rFonts w:hint="eastAsia" w:ascii="仿宋_GB2312" w:hAnsi="仿宋_GB2312" w:eastAsia="仿宋_GB2312" w:cs="仿宋_GB2312"/>
                <w:b w:val="0"/>
                <w:bCs/>
                <w:color w:val="auto"/>
                <w:sz w:val="24"/>
                <w:szCs w:val="24"/>
              </w:rPr>
            </w:pPr>
          </w:p>
        </w:tc>
      </w:tr>
      <w:tr w14:paraId="41A740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00" w:type="dxa"/>
            <w:vMerge w:val="continue"/>
            <w:noWrap w:val="0"/>
            <w:vAlign w:val="center"/>
          </w:tcPr>
          <w:p w14:paraId="2705D509">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58062028">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天花板不渗水，无脱落、破损。</w:t>
            </w:r>
          </w:p>
        </w:tc>
        <w:tc>
          <w:tcPr>
            <w:tcW w:w="600" w:type="dxa"/>
            <w:noWrap w:val="0"/>
            <w:vAlign w:val="center"/>
          </w:tcPr>
          <w:p w14:paraId="240E194B">
            <w:pPr>
              <w:snapToGrid w:val="0"/>
              <w:spacing w:line="300" w:lineRule="exact"/>
              <w:jc w:val="center"/>
              <w:rPr>
                <w:rFonts w:hint="eastAsia" w:ascii="仿宋_GB2312" w:hAnsi="仿宋_GB2312" w:eastAsia="仿宋_GB2312" w:cs="仿宋_GB2312"/>
                <w:b w:val="0"/>
                <w:bCs/>
                <w:color w:val="auto"/>
                <w:sz w:val="24"/>
                <w:szCs w:val="24"/>
                <w:lang w:eastAsia="zh-CN"/>
              </w:rPr>
            </w:pPr>
            <w:r>
              <w:rPr>
                <w:rFonts w:hint="eastAsia" w:ascii="仿宋_GB2312" w:hAnsi="仿宋_GB2312" w:cs="仿宋_GB2312"/>
                <w:b w:val="0"/>
                <w:bCs/>
                <w:color w:val="auto"/>
                <w:sz w:val="24"/>
                <w:szCs w:val="24"/>
                <w:lang w:val="en-US" w:eastAsia="zh-CN"/>
              </w:rPr>
              <w:t>9</w:t>
            </w:r>
          </w:p>
        </w:tc>
        <w:tc>
          <w:tcPr>
            <w:tcW w:w="600" w:type="dxa"/>
            <w:noWrap w:val="0"/>
            <w:vAlign w:val="center"/>
          </w:tcPr>
          <w:p w14:paraId="22506EBA">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4BAB37C0">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5E70448">
            <w:pPr>
              <w:snapToGrid w:val="0"/>
              <w:spacing w:line="300" w:lineRule="exact"/>
              <w:rPr>
                <w:rFonts w:hint="eastAsia" w:ascii="仿宋_GB2312" w:hAnsi="仿宋_GB2312" w:eastAsia="仿宋_GB2312" w:cs="仿宋_GB2312"/>
                <w:b w:val="0"/>
                <w:bCs/>
                <w:color w:val="auto"/>
                <w:sz w:val="24"/>
                <w:szCs w:val="24"/>
              </w:rPr>
            </w:pPr>
          </w:p>
        </w:tc>
      </w:tr>
      <w:tr w14:paraId="79A941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00" w:type="dxa"/>
            <w:vMerge w:val="continue"/>
            <w:noWrap w:val="0"/>
            <w:vAlign w:val="center"/>
          </w:tcPr>
          <w:p w14:paraId="6D08A96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255A1E0A">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与外界相通的</w:t>
            </w:r>
            <w:r>
              <w:rPr>
                <w:rFonts w:hint="eastAsia" w:ascii="仿宋_GB2312" w:hAnsi="仿宋_GB2312" w:eastAsia="仿宋_GB2312" w:cs="仿宋_GB2312"/>
                <w:b w:val="0"/>
                <w:bCs/>
                <w:color w:val="auto"/>
                <w:sz w:val="24"/>
                <w:szCs w:val="24"/>
                <w:lang w:val="zh-CN"/>
              </w:rPr>
              <w:t>门、窗采用易清洗、不吸水材料制作，能闭合严密。</w:t>
            </w:r>
          </w:p>
        </w:tc>
        <w:tc>
          <w:tcPr>
            <w:tcW w:w="600" w:type="dxa"/>
            <w:noWrap w:val="0"/>
            <w:vAlign w:val="center"/>
          </w:tcPr>
          <w:p w14:paraId="7F8BBA36">
            <w:pPr>
              <w:snapToGrid w:val="0"/>
              <w:spacing w:line="300" w:lineRule="exact"/>
              <w:jc w:val="center"/>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10</w:t>
            </w:r>
          </w:p>
        </w:tc>
        <w:tc>
          <w:tcPr>
            <w:tcW w:w="600" w:type="dxa"/>
            <w:noWrap w:val="0"/>
            <w:vAlign w:val="center"/>
          </w:tcPr>
          <w:p w14:paraId="6C41C125">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190C6633">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5C8B891F">
            <w:pPr>
              <w:snapToGrid w:val="0"/>
              <w:spacing w:line="300" w:lineRule="exact"/>
              <w:rPr>
                <w:rFonts w:hint="eastAsia" w:ascii="仿宋_GB2312" w:hAnsi="仿宋_GB2312" w:eastAsia="仿宋_GB2312" w:cs="仿宋_GB2312"/>
                <w:b w:val="0"/>
                <w:bCs/>
                <w:color w:val="auto"/>
                <w:sz w:val="24"/>
                <w:szCs w:val="24"/>
              </w:rPr>
            </w:pPr>
          </w:p>
        </w:tc>
      </w:tr>
      <w:tr w14:paraId="60287D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00" w:type="dxa"/>
            <w:vMerge w:val="continue"/>
            <w:noWrap w:val="0"/>
            <w:vAlign w:val="center"/>
          </w:tcPr>
          <w:p w14:paraId="16E8C08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45D6F5FD">
            <w:pPr>
              <w:snapToGrid w:val="0"/>
              <w:spacing w:line="300" w:lineRule="exact"/>
              <w:rPr>
                <w:rFonts w:hint="eastAsia" w:ascii="仿宋_GB2312" w:hAnsi="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设置非手动带盖的废弃物存放容器</w:t>
            </w:r>
            <w:r>
              <w:rPr>
                <w:rFonts w:hint="eastAsia" w:ascii="仿宋_GB2312" w:hAnsi="仿宋_GB2312" w:eastAsia="仿宋_GB2312" w:cs="仿宋_GB2312"/>
                <w:b w:val="0"/>
                <w:bCs/>
                <w:color w:val="auto"/>
                <w:sz w:val="24"/>
                <w:szCs w:val="24"/>
              </w:rPr>
              <w:t>。废弃物容器与加工用容器有明显区分的标识。</w:t>
            </w:r>
          </w:p>
        </w:tc>
        <w:tc>
          <w:tcPr>
            <w:tcW w:w="600" w:type="dxa"/>
            <w:noWrap w:val="0"/>
            <w:vAlign w:val="center"/>
          </w:tcPr>
          <w:p w14:paraId="0DD8B6BE">
            <w:pPr>
              <w:snapToGrid w:val="0"/>
              <w:spacing w:line="300" w:lineRule="exact"/>
              <w:jc w:val="center"/>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11</w:t>
            </w:r>
          </w:p>
        </w:tc>
        <w:tc>
          <w:tcPr>
            <w:tcW w:w="600" w:type="dxa"/>
            <w:noWrap w:val="0"/>
            <w:vAlign w:val="center"/>
          </w:tcPr>
          <w:p w14:paraId="660A7B79">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4BB11B03">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7DFF8E6E">
            <w:pPr>
              <w:snapToGrid w:val="0"/>
              <w:spacing w:line="300" w:lineRule="exact"/>
              <w:rPr>
                <w:rFonts w:hint="eastAsia" w:ascii="仿宋_GB2312" w:hAnsi="仿宋_GB2312" w:eastAsia="仿宋_GB2312" w:cs="仿宋_GB2312"/>
                <w:b w:val="0"/>
                <w:bCs/>
                <w:color w:val="auto"/>
                <w:sz w:val="24"/>
                <w:szCs w:val="24"/>
              </w:rPr>
            </w:pPr>
          </w:p>
        </w:tc>
      </w:tr>
      <w:tr w14:paraId="7F81F9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00" w:type="dxa"/>
            <w:vMerge w:val="restart"/>
            <w:noWrap w:val="0"/>
            <w:vAlign w:val="center"/>
          </w:tcPr>
          <w:p w14:paraId="016F982A">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117D3074">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热加工场所配置机械排风装置。</w:t>
            </w:r>
          </w:p>
        </w:tc>
        <w:tc>
          <w:tcPr>
            <w:tcW w:w="600" w:type="dxa"/>
            <w:noWrap w:val="0"/>
            <w:vAlign w:val="center"/>
          </w:tcPr>
          <w:p w14:paraId="7E1C8DCD">
            <w:pPr>
              <w:snapToGrid w:val="0"/>
              <w:spacing w:line="300" w:lineRule="exact"/>
              <w:jc w:val="center"/>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12</w:t>
            </w:r>
          </w:p>
        </w:tc>
        <w:tc>
          <w:tcPr>
            <w:tcW w:w="600" w:type="dxa"/>
            <w:noWrap w:val="0"/>
            <w:vAlign w:val="center"/>
          </w:tcPr>
          <w:p w14:paraId="75C01E22">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57E7D37">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8E72EC6">
            <w:pPr>
              <w:snapToGrid w:val="0"/>
              <w:spacing w:line="300" w:lineRule="exact"/>
              <w:rPr>
                <w:rFonts w:hint="eastAsia" w:ascii="仿宋_GB2312" w:hAnsi="仿宋_GB2312" w:eastAsia="仿宋_GB2312" w:cs="仿宋_GB2312"/>
                <w:b w:val="0"/>
                <w:bCs/>
                <w:color w:val="auto"/>
                <w:sz w:val="24"/>
                <w:szCs w:val="24"/>
              </w:rPr>
            </w:pPr>
          </w:p>
        </w:tc>
      </w:tr>
      <w:tr w14:paraId="0DD7DD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500" w:type="dxa"/>
            <w:vMerge w:val="continue"/>
            <w:noWrap w:val="0"/>
            <w:vAlign w:val="center"/>
          </w:tcPr>
          <w:p w14:paraId="0295EBDB">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41A125C1">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加工经营场所光源不改变食品的天然颜色。安装在暴露食品正上方的照明设施使用防护罩。</w:t>
            </w:r>
          </w:p>
        </w:tc>
        <w:tc>
          <w:tcPr>
            <w:tcW w:w="600" w:type="dxa"/>
            <w:noWrap w:val="0"/>
            <w:vAlign w:val="center"/>
          </w:tcPr>
          <w:p w14:paraId="248A55B2">
            <w:pPr>
              <w:snapToGrid w:val="0"/>
              <w:spacing w:line="300" w:lineRule="exact"/>
              <w:jc w:val="center"/>
              <w:rPr>
                <w:rFonts w:hint="default" w:ascii="仿宋_GB2312" w:hAnsi="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13</w:t>
            </w:r>
          </w:p>
        </w:tc>
        <w:tc>
          <w:tcPr>
            <w:tcW w:w="600" w:type="dxa"/>
            <w:noWrap w:val="0"/>
            <w:vAlign w:val="center"/>
          </w:tcPr>
          <w:p w14:paraId="3AD7B179">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68689361">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29BDD1FD">
            <w:pPr>
              <w:snapToGrid w:val="0"/>
              <w:spacing w:line="300" w:lineRule="exact"/>
              <w:rPr>
                <w:rFonts w:hint="eastAsia" w:ascii="仿宋_GB2312" w:hAnsi="仿宋_GB2312" w:eastAsia="仿宋_GB2312" w:cs="仿宋_GB2312"/>
                <w:b w:val="0"/>
                <w:bCs/>
                <w:color w:val="auto"/>
                <w:sz w:val="24"/>
                <w:szCs w:val="24"/>
              </w:rPr>
            </w:pPr>
          </w:p>
        </w:tc>
      </w:tr>
      <w:tr w14:paraId="27DA2B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1500" w:type="dxa"/>
            <w:vMerge w:val="restart"/>
            <w:noWrap w:val="0"/>
            <w:vAlign w:val="center"/>
          </w:tcPr>
          <w:p w14:paraId="367A8E5D">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3</w:t>
            </w:r>
            <w:r>
              <w:rPr>
                <w:rFonts w:hint="eastAsia" w:ascii="仿宋_GB2312" w:hAnsi="仿宋_GB2312" w:eastAsia="仿宋_GB2312" w:cs="仿宋_GB2312"/>
                <w:b w:val="0"/>
                <w:bCs/>
                <w:color w:val="auto"/>
                <w:sz w:val="24"/>
                <w:szCs w:val="24"/>
              </w:rPr>
              <w:t>.</w:t>
            </w:r>
            <w:r>
              <w:rPr>
                <w:rFonts w:hint="eastAsia" w:ascii="仿宋_GB2312" w:hAnsi="仿宋_GB2312" w:cs="仿宋_GB2312"/>
                <w:b w:val="0"/>
                <w:bCs/>
                <w:color w:val="auto"/>
                <w:sz w:val="24"/>
                <w:szCs w:val="24"/>
                <w:lang w:eastAsia="zh-CN"/>
              </w:rPr>
              <w:t>食品工用具及</w:t>
            </w:r>
            <w:r>
              <w:rPr>
                <w:rFonts w:hint="eastAsia" w:ascii="仿宋_GB2312" w:hAnsi="仿宋_GB2312" w:eastAsia="仿宋_GB2312" w:cs="仿宋_GB2312"/>
                <w:b w:val="0"/>
                <w:bCs/>
                <w:color w:val="auto"/>
                <w:sz w:val="24"/>
                <w:szCs w:val="24"/>
              </w:rPr>
              <w:t>清洗、保洁设施</w:t>
            </w:r>
          </w:p>
        </w:tc>
        <w:tc>
          <w:tcPr>
            <w:tcW w:w="5592" w:type="dxa"/>
            <w:noWrap w:val="0"/>
            <w:vAlign w:val="center"/>
          </w:tcPr>
          <w:p w14:paraId="353A585C">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zh-CN"/>
              </w:rPr>
              <w:t>根据加工品种和规模，设一个以上的原料清洗水池（容器）。</w:t>
            </w:r>
            <w:r>
              <w:rPr>
                <w:rFonts w:hint="eastAsia" w:ascii="仿宋_GB2312" w:hAnsi="仿宋_GB2312" w:eastAsia="仿宋_GB2312" w:cs="仿宋_GB2312"/>
                <w:b w:val="0"/>
                <w:bCs/>
                <w:color w:val="auto"/>
                <w:sz w:val="24"/>
                <w:szCs w:val="24"/>
              </w:rPr>
              <w:t>使用容器代替水池的，应设固定的有给排水设施的操作台。</w:t>
            </w:r>
          </w:p>
        </w:tc>
        <w:tc>
          <w:tcPr>
            <w:tcW w:w="600" w:type="dxa"/>
            <w:noWrap w:val="0"/>
            <w:vAlign w:val="center"/>
          </w:tcPr>
          <w:p w14:paraId="1772087A">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14</w:t>
            </w:r>
          </w:p>
        </w:tc>
        <w:tc>
          <w:tcPr>
            <w:tcW w:w="600" w:type="dxa"/>
            <w:noWrap w:val="0"/>
            <w:vAlign w:val="center"/>
          </w:tcPr>
          <w:p w14:paraId="5D014EA2">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07A31874">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A5AA86F">
            <w:pPr>
              <w:snapToGrid w:val="0"/>
              <w:spacing w:line="300" w:lineRule="exact"/>
              <w:rPr>
                <w:rFonts w:hint="eastAsia" w:ascii="仿宋_GB2312" w:hAnsi="仿宋_GB2312" w:eastAsia="仿宋_GB2312" w:cs="仿宋_GB2312"/>
                <w:b w:val="0"/>
                <w:bCs/>
                <w:color w:val="auto"/>
                <w:sz w:val="24"/>
                <w:szCs w:val="24"/>
              </w:rPr>
            </w:pPr>
          </w:p>
        </w:tc>
      </w:tr>
      <w:tr w14:paraId="5E5BF0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500" w:type="dxa"/>
            <w:vMerge w:val="continue"/>
            <w:noWrap w:val="0"/>
            <w:vAlign w:val="center"/>
          </w:tcPr>
          <w:p w14:paraId="22337431">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628F1385">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配备能正常运转的餐具与工用具的清洗、消毒设备设施，其大小和数量能满足需要。使用容器代替水池的，应设固定的有给排水设施的操作台。</w:t>
            </w:r>
          </w:p>
        </w:tc>
        <w:tc>
          <w:tcPr>
            <w:tcW w:w="600" w:type="dxa"/>
            <w:noWrap w:val="0"/>
            <w:vAlign w:val="center"/>
          </w:tcPr>
          <w:p w14:paraId="4E00AF25">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15</w:t>
            </w:r>
          </w:p>
        </w:tc>
        <w:tc>
          <w:tcPr>
            <w:tcW w:w="600" w:type="dxa"/>
            <w:noWrap w:val="0"/>
            <w:vAlign w:val="center"/>
          </w:tcPr>
          <w:p w14:paraId="424477ED">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181CBD5D">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780EE88C">
            <w:pPr>
              <w:snapToGrid w:val="0"/>
              <w:spacing w:line="300" w:lineRule="exact"/>
              <w:rPr>
                <w:rFonts w:hint="eastAsia" w:ascii="仿宋_GB2312" w:hAnsi="仿宋_GB2312" w:eastAsia="仿宋_GB2312" w:cs="仿宋_GB2312"/>
                <w:b w:val="0"/>
                <w:bCs/>
                <w:color w:val="auto"/>
                <w:sz w:val="24"/>
                <w:szCs w:val="24"/>
              </w:rPr>
            </w:pPr>
          </w:p>
        </w:tc>
      </w:tr>
      <w:tr w14:paraId="08DA5E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00" w:type="dxa"/>
            <w:vMerge w:val="continue"/>
            <w:noWrap w:val="0"/>
            <w:vAlign w:val="center"/>
          </w:tcPr>
          <w:p w14:paraId="4F2861AD">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5941DFDC">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设专用于拖把等清洁工具、用具的清洗水池（容器），其位置不会污染食品及其加工制作过程。</w:t>
            </w:r>
          </w:p>
        </w:tc>
        <w:tc>
          <w:tcPr>
            <w:tcW w:w="600" w:type="dxa"/>
            <w:noWrap w:val="0"/>
            <w:vAlign w:val="center"/>
          </w:tcPr>
          <w:p w14:paraId="16FC9C09">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16</w:t>
            </w:r>
          </w:p>
        </w:tc>
        <w:tc>
          <w:tcPr>
            <w:tcW w:w="600" w:type="dxa"/>
            <w:noWrap w:val="0"/>
            <w:vAlign w:val="center"/>
          </w:tcPr>
          <w:p w14:paraId="5D876A42">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67012AFC">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72524AF7">
            <w:pPr>
              <w:snapToGrid w:val="0"/>
              <w:spacing w:line="300" w:lineRule="exact"/>
              <w:rPr>
                <w:rFonts w:hint="eastAsia" w:ascii="仿宋_GB2312" w:hAnsi="仿宋_GB2312" w:eastAsia="仿宋_GB2312" w:cs="仿宋_GB2312"/>
                <w:b w:val="0"/>
                <w:bCs/>
                <w:color w:val="auto"/>
                <w:sz w:val="24"/>
                <w:szCs w:val="24"/>
              </w:rPr>
            </w:pPr>
          </w:p>
        </w:tc>
      </w:tr>
      <w:tr w14:paraId="78C645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500" w:type="dxa"/>
            <w:vMerge w:val="continue"/>
            <w:noWrap w:val="0"/>
            <w:vAlign w:val="center"/>
          </w:tcPr>
          <w:p w14:paraId="6829D51D">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52C11B1A">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食品原料清洗、餐用具清洗消毒以及清洁工用具清洗水池(容器)分开专用，并以明显标识标明其用途。</w:t>
            </w:r>
          </w:p>
        </w:tc>
        <w:tc>
          <w:tcPr>
            <w:tcW w:w="600" w:type="dxa"/>
            <w:noWrap w:val="0"/>
            <w:vAlign w:val="center"/>
          </w:tcPr>
          <w:p w14:paraId="19CA8991">
            <w:pPr>
              <w:snapToGrid w:val="0"/>
              <w:spacing w:line="300" w:lineRule="exact"/>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7</w:t>
            </w:r>
          </w:p>
        </w:tc>
        <w:tc>
          <w:tcPr>
            <w:tcW w:w="600" w:type="dxa"/>
            <w:noWrap w:val="0"/>
            <w:vAlign w:val="center"/>
          </w:tcPr>
          <w:p w14:paraId="7626A0EB">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2B4EAFB5">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08C22E5">
            <w:pPr>
              <w:snapToGrid w:val="0"/>
              <w:spacing w:line="300" w:lineRule="exact"/>
              <w:rPr>
                <w:rFonts w:hint="eastAsia" w:ascii="仿宋_GB2312" w:hAnsi="仿宋_GB2312" w:eastAsia="仿宋_GB2312" w:cs="仿宋_GB2312"/>
                <w:b w:val="0"/>
                <w:bCs/>
                <w:color w:val="auto"/>
                <w:sz w:val="24"/>
                <w:szCs w:val="24"/>
              </w:rPr>
            </w:pPr>
          </w:p>
        </w:tc>
      </w:tr>
      <w:tr w14:paraId="160F89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500" w:type="dxa"/>
            <w:vMerge w:val="continue"/>
            <w:noWrap w:val="0"/>
            <w:vAlign w:val="center"/>
          </w:tcPr>
          <w:p w14:paraId="6F48E4D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729AADBE">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设专供存放消毒后餐具、工用具的保洁设施，标记明显，易于清洁，容量和数量应能满足加工制作和供餐需要。</w:t>
            </w:r>
          </w:p>
        </w:tc>
        <w:tc>
          <w:tcPr>
            <w:tcW w:w="600" w:type="dxa"/>
            <w:noWrap w:val="0"/>
            <w:vAlign w:val="center"/>
          </w:tcPr>
          <w:p w14:paraId="516D5DB5">
            <w:pPr>
              <w:snapToGrid w:val="0"/>
              <w:spacing w:line="300" w:lineRule="exact"/>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8</w:t>
            </w:r>
          </w:p>
        </w:tc>
        <w:tc>
          <w:tcPr>
            <w:tcW w:w="600" w:type="dxa"/>
            <w:noWrap w:val="0"/>
            <w:vAlign w:val="center"/>
          </w:tcPr>
          <w:p w14:paraId="6F33ED2C">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2C428AA6">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07257DC">
            <w:pPr>
              <w:snapToGrid w:val="0"/>
              <w:spacing w:line="300" w:lineRule="exact"/>
              <w:rPr>
                <w:rFonts w:hint="eastAsia" w:ascii="仿宋_GB2312" w:hAnsi="仿宋_GB2312" w:eastAsia="仿宋_GB2312" w:cs="仿宋_GB2312"/>
                <w:b w:val="0"/>
                <w:bCs/>
                <w:color w:val="auto"/>
                <w:sz w:val="24"/>
                <w:szCs w:val="24"/>
              </w:rPr>
            </w:pPr>
          </w:p>
        </w:tc>
      </w:tr>
      <w:tr w14:paraId="289A77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500" w:type="dxa"/>
            <w:vMerge w:val="continue"/>
            <w:noWrap w:val="0"/>
            <w:vAlign w:val="center"/>
          </w:tcPr>
          <w:p w14:paraId="3524CA0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6B15347F">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接触食品的设备、工具、容器、包装材料等符合食品安全标准或要求。</w:t>
            </w:r>
          </w:p>
        </w:tc>
        <w:tc>
          <w:tcPr>
            <w:tcW w:w="600" w:type="dxa"/>
            <w:noWrap w:val="0"/>
            <w:vAlign w:val="center"/>
          </w:tcPr>
          <w:p w14:paraId="1934EE00">
            <w:pPr>
              <w:snapToGrid w:val="0"/>
              <w:spacing w:line="300" w:lineRule="exact"/>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9</w:t>
            </w:r>
          </w:p>
        </w:tc>
        <w:tc>
          <w:tcPr>
            <w:tcW w:w="600" w:type="dxa"/>
            <w:noWrap w:val="0"/>
            <w:vAlign w:val="center"/>
          </w:tcPr>
          <w:p w14:paraId="6FAD5A25">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1EAFB1EB">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1D174AA">
            <w:pPr>
              <w:snapToGrid w:val="0"/>
              <w:spacing w:line="300" w:lineRule="exact"/>
              <w:rPr>
                <w:rFonts w:hint="eastAsia" w:ascii="仿宋_GB2312" w:hAnsi="仿宋_GB2312" w:eastAsia="仿宋_GB2312" w:cs="仿宋_GB2312"/>
                <w:b w:val="0"/>
                <w:bCs/>
                <w:color w:val="auto"/>
                <w:sz w:val="24"/>
                <w:szCs w:val="24"/>
              </w:rPr>
            </w:pPr>
          </w:p>
        </w:tc>
      </w:tr>
      <w:tr w14:paraId="0B1229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500" w:type="dxa"/>
            <w:vMerge w:val="restart"/>
            <w:noWrap w:val="0"/>
            <w:vAlign w:val="center"/>
          </w:tcPr>
          <w:p w14:paraId="7C888B20">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4</w:t>
            </w:r>
            <w:r>
              <w:rPr>
                <w:rFonts w:hint="eastAsia" w:ascii="仿宋_GB2312" w:hAnsi="仿宋_GB2312" w:eastAsia="仿宋_GB2312" w:cs="仿宋_GB2312"/>
                <w:b w:val="0"/>
                <w:bCs/>
                <w:color w:val="auto"/>
                <w:sz w:val="24"/>
                <w:szCs w:val="24"/>
              </w:rPr>
              <w:t>.食品贮存场所与设施</w:t>
            </w:r>
          </w:p>
        </w:tc>
        <w:tc>
          <w:tcPr>
            <w:tcW w:w="5592" w:type="dxa"/>
            <w:noWrap w:val="0"/>
            <w:vAlign w:val="center"/>
          </w:tcPr>
          <w:p w14:paraId="04CAE331">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食品和非食品（不会导致食品污染的食品容器、包装材料、工具等除外）存放场所（区域）明显分开。</w:t>
            </w:r>
          </w:p>
        </w:tc>
        <w:tc>
          <w:tcPr>
            <w:tcW w:w="600" w:type="dxa"/>
            <w:noWrap w:val="0"/>
            <w:vAlign w:val="center"/>
          </w:tcPr>
          <w:p w14:paraId="603CF9EE">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20</w:t>
            </w:r>
          </w:p>
        </w:tc>
        <w:tc>
          <w:tcPr>
            <w:tcW w:w="600" w:type="dxa"/>
            <w:noWrap w:val="0"/>
            <w:vAlign w:val="center"/>
          </w:tcPr>
          <w:p w14:paraId="7164C4B6">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70B12B6">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50B08E70">
            <w:pPr>
              <w:snapToGrid w:val="0"/>
              <w:spacing w:line="300" w:lineRule="exact"/>
              <w:rPr>
                <w:rFonts w:hint="eastAsia" w:ascii="仿宋_GB2312" w:hAnsi="仿宋_GB2312" w:eastAsia="仿宋_GB2312" w:cs="仿宋_GB2312"/>
                <w:b w:val="0"/>
                <w:bCs/>
                <w:color w:val="auto"/>
                <w:sz w:val="24"/>
                <w:szCs w:val="24"/>
              </w:rPr>
            </w:pPr>
          </w:p>
        </w:tc>
      </w:tr>
      <w:tr w14:paraId="3B9A27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500" w:type="dxa"/>
            <w:vMerge w:val="continue"/>
            <w:noWrap w:val="0"/>
            <w:vAlign w:val="center"/>
          </w:tcPr>
          <w:p w14:paraId="3E154954">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45756C65">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冷藏、冷冻柜（库）数量和结构能使原料、半成品和成品分开存放，有明显区分标识。</w:t>
            </w:r>
          </w:p>
        </w:tc>
        <w:tc>
          <w:tcPr>
            <w:tcW w:w="600" w:type="dxa"/>
            <w:noWrap w:val="0"/>
            <w:vAlign w:val="center"/>
          </w:tcPr>
          <w:p w14:paraId="28FD2E0B">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21</w:t>
            </w:r>
          </w:p>
        </w:tc>
        <w:tc>
          <w:tcPr>
            <w:tcW w:w="600" w:type="dxa"/>
            <w:noWrap w:val="0"/>
            <w:vAlign w:val="center"/>
          </w:tcPr>
          <w:p w14:paraId="00A27201">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488C39ED">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6D31ADF1">
            <w:pPr>
              <w:snapToGrid w:val="0"/>
              <w:spacing w:line="300" w:lineRule="exact"/>
              <w:rPr>
                <w:rFonts w:hint="eastAsia" w:ascii="仿宋_GB2312" w:hAnsi="仿宋_GB2312" w:eastAsia="仿宋_GB2312" w:cs="仿宋_GB2312"/>
                <w:b w:val="0"/>
                <w:bCs/>
                <w:color w:val="auto"/>
                <w:sz w:val="24"/>
                <w:szCs w:val="24"/>
              </w:rPr>
            </w:pPr>
          </w:p>
        </w:tc>
      </w:tr>
      <w:tr w14:paraId="0A0BD6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500" w:type="dxa"/>
            <w:vMerge w:val="continue"/>
            <w:noWrap w:val="0"/>
            <w:vAlign w:val="center"/>
          </w:tcPr>
          <w:p w14:paraId="2B3E4EEE">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00B183A7">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食品贮存场所以及其它食品处理场所有足够数量的食品存放架（柜），确保食品分类、上架（进柜）存放。</w:t>
            </w:r>
          </w:p>
        </w:tc>
        <w:tc>
          <w:tcPr>
            <w:tcW w:w="600" w:type="dxa"/>
            <w:noWrap w:val="0"/>
            <w:vAlign w:val="center"/>
          </w:tcPr>
          <w:p w14:paraId="57F89308">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22</w:t>
            </w:r>
          </w:p>
        </w:tc>
        <w:tc>
          <w:tcPr>
            <w:tcW w:w="600" w:type="dxa"/>
            <w:noWrap w:val="0"/>
            <w:vAlign w:val="center"/>
          </w:tcPr>
          <w:p w14:paraId="2E31750B">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212C40FE">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4C7FE418">
            <w:pPr>
              <w:snapToGrid w:val="0"/>
              <w:spacing w:line="300" w:lineRule="exact"/>
              <w:rPr>
                <w:rFonts w:hint="eastAsia" w:ascii="仿宋_GB2312" w:hAnsi="仿宋_GB2312" w:eastAsia="仿宋_GB2312" w:cs="仿宋_GB2312"/>
                <w:b w:val="0"/>
                <w:bCs/>
                <w:color w:val="auto"/>
                <w:sz w:val="24"/>
                <w:szCs w:val="24"/>
              </w:rPr>
            </w:pPr>
          </w:p>
        </w:tc>
      </w:tr>
      <w:tr w14:paraId="6CB332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jc w:val="center"/>
        </w:trPr>
        <w:tc>
          <w:tcPr>
            <w:tcW w:w="1500" w:type="dxa"/>
            <w:noWrap w:val="0"/>
            <w:vAlign w:val="center"/>
          </w:tcPr>
          <w:p w14:paraId="0CEA17FB">
            <w:pPr>
              <w:pageBreakBefore w:val="0"/>
              <w:widowControl w:val="0"/>
              <w:kinsoku/>
              <w:wordWrap/>
              <w:overflowPunct/>
              <w:topLinePunct w:val="0"/>
              <w:autoSpaceDE/>
              <w:autoSpaceDN/>
              <w:bidi w:val="0"/>
              <w:adjustRightInd/>
              <w:snapToGrid w:val="0"/>
              <w:spacing w:line="300" w:lineRule="exact"/>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sz w:val="24"/>
                <w:szCs w:val="24"/>
                <w:lang w:val="en-US" w:eastAsia="zh-CN"/>
              </w:rPr>
              <w:t>5.</w:t>
            </w:r>
            <w:r>
              <w:rPr>
                <w:rFonts w:hint="eastAsia" w:ascii="仿宋_GB2312" w:hAnsi="仿宋_GB2312" w:eastAsia="仿宋_GB2312" w:cs="仿宋_GB2312"/>
                <w:b w:val="0"/>
                <w:bCs/>
                <w:color w:val="auto"/>
                <w:sz w:val="24"/>
                <w:szCs w:val="24"/>
              </w:rPr>
              <w:t>专间</w:t>
            </w:r>
          </w:p>
        </w:tc>
        <w:tc>
          <w:tcPr>
            <w:tcW w:w="5592" w:type="dxa"/>
            <w:noWrap w:val="0"/>
            <w:vAlign w:val="center"/>
          </w:tcPr>
          <w:p w14:paraId="08A2E24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从事冷荤类及冷食类非发酵豆制品、冷加工糕点、生食类食品制售，应分别设置相应的专间。</w:t>
            </w:r>
            <w:r>
              <w:rPr>
                <w:rFonts w:hint="eastAsia" w:ascii="仿宋_GB2312" w:hAnsi="仿宋_GB2312" w:cs="仿宋_GB2312"/>
                <w:b w:val="0"/>
                <w:bCs/>
                <w:color w:val="auto"/>
                <w:sz w:val="24"/>
                <w:szCs w:val="24"/>
                <w:lang w:eastAsia="zh-CN"/>
              </w:rPr>
              <w:t>专间符合相应的规定。</w:t>
            </w:r>
          </w:p>
        </w:tc>
        <w:tc>
          <w:tcPr>
            <w:tcW w:w="600" w:type="dxa"/>
            <w:noWrap w:val="0"/>
            <w:vAlign w:val="center"/>
          </w:tcPr>
          <w:p w14:paraId="0DD65251">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sz w:val="24"/>
                <w:szCs w:val="24"/>
                <w:lang w:val="en-US" w:eastAsia="zh-CN"/>
              </w:rPr>
              <w:t>23</w:t>
            </w:r>
          </w:p>
        </w:tc>
        <w:tc>
          <w:tcPr>
            <w:tcW w:w="600" w:type="dxa"/>
            <w:noWrap w:val="0"/>
            <w:vAlign w:val="center"/>
          </w:tcPr>
          <w:p w14:paraId="2CDE611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05" w:type="dxa"/>
            <w:noWrap w:val="0"/>
            <w:vAlign w:val="center"/>
          </w:tcPr>
          <w:p w14:paraId="1FDF5D70">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636" w:type="dxa"/>
            <w:noWrap w:val="0"/>
            <w:vAlign w:val="center"/>
          </w:tcPr>
          <w:p w14:paraId="78577D62">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2C15BE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500" w:type="dxa"/>
            <w:noWrap w:val="0"/>
            <w:vAlign w:val="center"/>
          </w:tcPr>
          <w:p w14:paraId="38554271">
            <w:pPr>
              <w:pStyle w:val="7"/>
              <w:ind w:left="0" w:leftChars="0" w:firstLine="0" w:firstLineChars="0"/>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6.专用操作区</w:t>
            </w:r>
          </w:p>
        </w:tc>
        <w:tc>
          <w:tcPr>
            <w:tcW w:w="5592" w:type="dxa"/>
            <w:noWrap w:val="0"/>
            <w:vAlign w:val="center"/>
          </w:tcPr>
          <w:p w14:paraId="4AC5D73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自制饮品（在封闭的自动设备中操作和饮品的现场调配、冲泡、分装除外）、植物性冷食类制作（不含冷食类非发酵豆制品），调制直接食用的调味料，应分别设置相应的专用操作区。</w:t>
            </w:r>
            <w:r>
              <w:rPr>
                <w:rFonts w:hint="eastAsia" w:ascii="仿宋_GB2312" w:hAnsi="仿宋_GB2312" w:cs="仿宋_GB2312"/>
                <w:b w:val="0"/>
                <w:bCs/>
                <w:color w:val="auto"/>
                <w:sz w:val="24"/>
                <w:szCs w:val="24"/>
                <w:lang w:eastAsia="zh-CN"/>
              </w:rPr>
              <w:t>专区符合相应的规定。</w:t>
            </w:r>
          </w:p>
        </w:tc>
        <w:tc>
          <w:tcPr>
            <w:tcW w:w="600" w:type="dxa"/>
            <w:noWrap w:val="0"/>
            <w:vAlign w:val="center"/>
          </w:tcPr>
          <w:p w14:paraId="20A0317E">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kern w:val="2"/>
                <w:sz w:val="24"/>
                <w:szCs w:val="24"/>
                <w:lang w:val="en-US" w:eastAsia="zh-CN" w:bidi="ar-SA"/>
              </w:rPr>
              <w:t>24</w:t>
            </w:r>
          </w:p>
        </w:tc>
        <w:tc>
          <w:tcPr>
            <w:tcW w:w="600" w:type="dxa"/>
            <w:noWrap w:val="0"/>
            <w:vAlign w:val="center"/>
          </w:tcPr>
          <w:p w14:paraId="29A0BBCD">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05" w:type="dxa"/>
            <w:noWrap w:val="0"/>
            <w:vAlign w:val="center"/>
          </w:tcPr>
          <w:p w14:paraId="1005AA08">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636" w:type="dxa"/>
            <w:noWrap w:val="0"/>
            <w:vAlign w:val="center"/>
          </w:tcPr>
          <w:p w14:paraId="09481BF3">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1E0635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500" w:type="dxa"/>
            <w:noWrap w:val="0"/>
            <w:vAlign w:val="center"/>
          </w:tcPr>
          <w:p w14:paraId="2CED041E">
            <w:pPr>
              <w:pStyle w:val="7"/>
              <w:ind w:left="0" w:leftChars="0" w:firstLine="0" w:firstLineChars="0"/>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7.</w:t>
            </w:r>
            <w:r>
              <w:rPr>
                <w:rFonts w:hint="eastAsia" w:ascii="仿宋_GB2312" w:hAnsi="仿宋_GB2312" w:eastAsia="仿宋_GB2312" w:cs="仿宋_GB2312"/>
                <w:b w:val="0"/>
                <w:bCs/>
                <w:color w:val="auto"/>
                <w:sz w:val="24"/>
                <w:szCs w:val="24"/>
                <w:lang w:eastAsia="zh-CN"/>
              </w:rPr>
              <w:t>简单制售</w:t>
            </w:r>
          </w:p>
        </w:tc>
        <w:tc>
          <w:tcPr>
            <w:tcW w:w="5592" w:type="dxa"/>
            <w:noWrap w:val="0"/>
            <w:vAlign w:val="center"/>
          </w:tcPr>
          <w:p w14:paraId="6F8A70A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szCs w:val="24"/>
              </w:rPr>
              <w:t>从事解冻、简单加热、冲调、组合、摆盘、洗切等食品安全风险较低的简单制售的，</w:t>
            </w:r>
            <w:r>
              <w:rPr>
                <w:rFonts w:hint="eastAsia" w:ascii="仿宋_GB2312" w:hAnsi="仿宋_GB2312" w:cs="仿宋_GB2312"/>
                <w:b w:val="0"/>
                <w:bCs/>
                <w:color w:val="auto"/>
                <w:sz w:val="24"/>
                <w:szCs w:val="24"/>
                <w:lang w:eastAsia="zh-CN"/>
              </w:rPr>
              <w:t>对预包装食品进行拆封、装盘、分切、调味等</w:t>
            </w:r>
            <w:r>
              <w:rPr>
                <w:rFonts w:hint="eastAsia" w:ascii="仿宋_GB2312" w:hAnsi="仿宋_GB2312" w:eastAsia="仿宋_GB2312" w:cs="仿宋_GB2312"/>
                <w:b w:val="0"/>
                <w:bCs/>
                <w:color w:val="auto"/>
                <w:sz w:val="24"/>
                <w:szCs w:val="24"/>
              </w:rPr>
              <w:t>简单制售</w:t>
            </w:r>
            <w:r>
              <w:rPr>
                <w:rFonts w:hint="eastAsia" w:ascii="仿宋_GB2312" w:hAnsi="仿宋_GB2312" w:cs="仿宋_GB2312"/>
                <w:b w:val="0"/>
                <w:bCs/>
                <w:color w:val="auto"/>
                <w:sz w:val="24"/>
                <w:szCs w:val="24"/>
                <w:lang w:eastAsia="zh-CN"/>
              </w:rPr>
              <w:t>后</w:t>
            </w:r>
            <w:r>
              <w:rPr>
                <w:rFonts w:hint="eastAsia" w:ascii="仿宋_GB2312" w:hAnsi="仿宋_GB2312" w:eastAsia="仿宋_GB2312" w:cs="仿宋_GB2312"/>
                <w:b w:val="0"/>
                <w:bCs/>
                <w:color w:val="auto"/>
                <w:sz w:val="24"/>
                <w:szCs w:val="24"/>
              </w:rPr>
              <w:t>即时供应</w:t>
            </w:r>
            <w:r>
              <w:rPr>
                <w:rFonts w:hint="eastAsia" w:ascii="仿宋_GB2312" w:hAnsi="仿宋_GB2312" w:cs="仿宋_GB2312"/>
                <w:b w:val="0"/>
                <w:bCs/>
                <w:color w:val="auto"/>
                <w:sz w:val="24"/>
                <w:szCs w:val="24"/>
                <w:lang w:eastAsia="zh-CN"/>
              </w:rPr>
              <w:t>的，</w:t>
            </w:r>
            <w:r>
              <w:rPr>
                <w:rFonts w:hint="eastAsia" w:ascii="仿宋_GB2312" w:hAnsi="仿宋_GB2312" w:eastAsia="仿宋_GB2312" w:cs="仿宋_GB2312"/>
                <w:b w:val="0"/>
                <w:bCs/>
                <w:color w:val="auto"/>
                <w:sz w:val="24"/>
                <w:szCs w:val="24"/>
              </w:rPr>
              <w:t>可在相对洁净的专用工作台操作。</w:t>
            </w:r>
          </w:p>
        </w:tc>
        <w:tc>
          <w:tcPr>
            <w:tcW w:w="600" w:type="dxa"/>
            <w:noWrap w:val="0"/>
            <w:vAlign w:val="center"/>
          </w:tcPr>
          <w:p w14:paraId="17082CE4">
            <w:pPr>
              <w:pageBreakBefore w:val="0"/>
              <w:widowControl w:val="0"/>
              <w:kinsoku/>
              <w:wordWrap/>
              <w:overflowPunct/>
              <w:topLinePunct w:val="0"/>
              <w:autoSpaceDE/>
              <w:autoSpaceDN/>
              <w:bidi w:val="0"/>
              <w:adjustRightInd/>
              <w:snapToGrid w:val="0"/>
              <w:spacing w:line="300" w:lineRule="exact"/>
              <w:jc w:val="center"/>
              <w:textAlignment w:val="auto"/>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cs="仿宋_GB2312"/>
                <w:b w:val="0"/>
                <w:bCs/>
                <w:color w:val="auto"/>
                <w:kern w:val="2"/>
                <w:sz w:val="24"/>
                <w:szCs w:val="24"/>
                <w:lang w:val="en-US" w:eastAsia="zh-CN" w:bidi="ar-SA"/>
              </w:rPr>
              <w:t>25</w:t>
            </w:r>
          </w:p>
        </w:tc>
        <w:tc>
          <w:tcPr>
            <w:tcW w:w="600" w:type="dxa"/>
            <w:noWrap w:val="0"/>
            <w:vAlign w:val="center"/>
          </w:tcPr>
          <w:p w14:paraId="679078E1">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705" w:type="dxa"/>
            <w:noWrap w:val="0"/>
            <w:vAlign w:val="center"/>
          </w:tcPr>
          <w:p w14:paraId="77E6E20A">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c>
          <w:tcPr>
            <w:tcW w:w="636" w:type="dxa"/>
            <w:noWrap w:val="0"/>
            <w:vAlign w:val="center"/>
          </w:tcPr>
          <w:p w14:paraId="38D7CF74">
            <w:pPr>
              <w:pageBreakBefore w:val="0"/>
              <w:widowControl w:val="0"/>
              <w:kinsoku/>
              <w:wordWrap/>
              <w:overflowPunct/>
              <w:topLinePunct w:val="0"/>
              <w:autoSpaceDE/>
              <w:autoSpaceDN/>
              <w:bidi w:val="0"/>
              <w:adjustRightInd/>
              <w:snapToGrid w:val="0"/>
              <w:spacing w:line="300" w:lineRule="exact"/>
              <w:textAlignment w:val="auto"/>
              <w:rPr>
                <w:rFonts w:hint="eastAsia" w:ascii="仿宋_GB2312" w:hAnsi="仿宋_GB2312" w:eastAsia="仿宋_GB2312" w:cs="仿宋_GB2312"/>
                <w:b w:val="0"/>
                <w:bCs/>
                <w:color w:val="auto"/>
                <w:kern w:val="2"/>
                <w:sz w:val="24"/>
                <w:szCs w:val="24"/>
                <w:lang w:val="en-US" w:eastAsia="zh-CN" w:bidi="ar-SA"/>
              </w:rPr>
            </w:pPr>
          </w:p>
        </w:tc>
      </w:tr>
      <w:tr w14:paraId="585085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500" w:type="dxa"/>
            <w:noWrap w:val="0"/>
            <w:vAlign w:val="center"/>
          </w:tcPr>
          <w:p w14:paraId="11AF21A8">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val="en-US" w:eastAsia="zh-CN"/>
              </w:rPr>
              <w:t>8.</w:t>
            </w:r>
            <w:r>
              <w:rPr>
                <w:rFonts w:hint="eastAsia" w:ascii="仿宋_GB2312" w:hAnsi="仿宋_GB2312" w:eastAsia="仿宋_GB2312" w:cs="仿宋_GB2312"/>
                <w:b w:val="0"/>
                <w:bCs/>
                <w:color w:val="auto"/>
                <w:sz w:val="24"/>
                <w:szCs w:val="24"/>
              </w:rPr>
              <w:t>食品用水</w:t>
            </w:r>
          </w:p>
        </w:tc>
        <w:tc>
          <w:tcPr>
            <w:tcW w:w="5592" w:type="dxa"/>
            <w:noWrap w:val="0"/>
            <w:vAlign w:val="center"/>
          </w:tcPr>
          <w:p w14:paraId="28B01926">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接触直接入口食品（包括冷食类、生食类食品和自制饮品）的水</w:t>
            </w:r>
            <w:r>
              <w:rPr>
                <w:rFonts w:hint="eastAsia" w:ascii="仿宋_GB2312" w:hAnsi="仿宋_GB2312" w:eastAsia="仿宋_GB2312" w:cs="仿宋_GB2312"/>
                <w:b w:val="0"/>
                <w:bCs/>
                <w:color w:val="auto"/>
                <w:sz w:val="24"/>
                <w:szCs w:val="24"/>
                <w:lang w:val="zh-CN"/>
              </w:rPr>
              <w:t>经过水净化设施处理或</w:t>
            </w:r>
            <w:r>
              <w:rPr>
                <w:rFonts w:hint="eastAsia" w:ascii="仿宋_GB2312" w:hAnsi="仿宋_GB2312" w:eastAsia="仿宋_GB2312" w:cs="仿宋_GB2312"/>
                <w:b w:val="0"/>
                <w:bCs/>
                <w:color w:val="auto"/>
                <w:sz w:val="24"/>
                <w:szCs w:val="24"/>
              </w:rPr>
              <w:t>煮沸设施</w:t>
            </w:r>
            <w:r>
              <w:rPr>
                <w:rFonts w:hint="eastAsia" w:ascii="仿宋_GB2312" w:hAnsi="仿宋_GB2312" w:cs="仿宋_GB2312"/>
                <w:b w:val="0"/>
                <w:bCs/>
                <w:color w:val="auto"/>
                <w:sz w:val="24"/>
                <w:szCs w:val="24"/>
                <w:lang w:val="zh-CN"/>
              </w:rPr>
              <w:t>或</w:t>
            </w:r>
            <w:r>
              <w:rPr>
                <w:rFonts w:hint="eastAsia" w:ascii="仿宋_GB2312" w:hAnsi="仿宋_GB2312" w:eastAsia="仿宋_GB2312" w:cs="仿宋_GB2312"/>
                <w:b w:val="0"/>
                <w:bCs/>
                <w:color w:val="auto"/>
                <w:sz w:val="24"/>
                <w:szCs w:val="24"/>
                <w:lang w:val="zh-CN"/>
              </w:rPr>
              <w:t>使用直接饮用水。</w:t>
            </w:r>
          </w:p>
        </w:tc>
        <w:tc>
          <w:tcPr>
            <w:tcW w:w="600" w:type="dxa"/>
            <w:noWrap w:val="0"/>
            <w:vAlign w:val="center"/>
          </w:tcPr>
          <w:p w14:paraId="30477D13">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26</w:t>
            </w:r>
          </w:p>
        </w:tc>
        <w:tc>
          <w:tcPr>
            <w:tcW w:w="600" w:type="dxa"/>
            <w:noWrap w:val="0"/>
            <w:vAlign w:val="center"/>
          </w:tcPr>
          <w:p w14:paraId="6344895F">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7F23509B">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CF28813">
            <w:pPr>
              <w:snapToGrid w:val="0"/>
              <w:spacing w:line="300" w:lineRule="exact"/>
              <w:rPr>
                <w:rFonts w:hint="eastAsia" w:ascii="仿宋_GB2312" w:hAnsi="仿宋_GB2312" w:eastAsia="仿宋_GB2312" w:cs="仿宋_GB2312"/>
                <w:b w:val="0"/>
                <w:bCs/>
                <w:color w:val="auto"/>
                <w:sz w:val="24"/>
                <w:szCs w:val="24"/>
              </w:rPr>
            </w:pPr>
          </w:p>
        </w:tc>
      </w:tr>
      <w:tr w14:paraId="6B1DAB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6" w:hRule="atLeast"/>
          <w:jc w:val="center"/>
        </w:trPr>
        <w:tc>
          <w:tcPr>
            <w:tcW w:w="1500" w:type="dxa"/>
            <w:noWrap w:val="0"/>
            <w:vAlign w:val="center"/>
          </w:tcPr>
          <w:p w14:paraId="054BD19D">
            <w:pPr>
              <w:pStyle w:val="7"/>
              <w:ind w:left="0" w:leftChars="0" w:firstLine="0" w:firstLineChars="0"/>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9.管理制度</w:t>
            </w:r>
          </w:p>
        </w:tc>
        <w:tc>
          <w:tcPr>
            <w:tcW w:w="5592" w:type="dxa"/>
            <w:noWrap w:val="0"/>
            <w:vAlign w:val="center"/>
          </w:tcPr>
          <w:p w14:paraId="75B0E3AD">
            <w:pPr>
              <w:snapToGrid w:val="0"/>
              <w:spacing w:line="300" w:lineRule="exac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经营者有食品安全自查、食品安全追溯、从业人员健康管理制度、定期清洗消毒空调及通风设施制度、定期清洁卫生间制度。经营者为企业的，还应有食品安全风险管控清单，有日管控、周排查、月调度制度，人员培训和考核制度，进货查验记录制度，场所及设施清洗清毒和维修保养制度，食品贮存管理制度，废弃物处置制度，不合格食品处置制度，食品安全事故处置方案以及食品经营过程控制制度等制度。</w:t>
            </w:r>
          </w:p>
        </w:tc>
        <w:tc>
          <w:tcPr>
            <w:tcW w:w="600" w:type="dxa"/>
            <w:noWrap w:val="0"/>
            <w:vAlign w:val="center"/>
          </w:tcPr>
          <w:p w14:paraId="423AFB99">
            <w:pPr>
              <w:pStyle w:val="7"/>
              <w:ind w:left="0" w:leftChars="0" w:firstLine="0" w:firstLineChars="0"/>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27</w:t>
            </w:r>
          </w:p>
        </w:tc>
        <w:tc>
          <w:tcPr>
            <w:tcW w:w="600" w:type="dxa"/>
            <w:noWrap w:val="0"/>
            <w:vAlign w:val="center"/>
          </w:tcPr>
          <w:p w14:paraId="12CBB34E">
            <w:pPr>
              <w:pStyle w:val="7"/>
              <w:ind w:left="0" w:leftChars="0" w:firstLine="0" w:firstLineChars="0"/>
              <w:rPr>
                <w:rFonts w:hint="eastAsia" w:ascii="仿宋_GB2312" w:hAnsi="仿宋_GB2312" w:eastAsia="仿宋_GB2312" w:cs="仿宋_GB2312"/>
                <w:b w:val="0"/>
                <w:bCs/>
                <w:color w:val="auto"/>
                <w:sz w:val="24"/>
                <w:szCs w:val="24"/>
                <w:lang w:val="en-US" w:eastAsia="zh-CN"/>
              </w:rPr>
            </w:pPr>
          </w:p>
        </w:tc>
        <w:tc>
          <w:tcPr>
            <w:tcW w:w="705" w:type="dxa"/>
            <w:noWrap w:val="0"/>
            <w:vAlign w:val="center"/>
          </w:tcPr>
          <w:p w14:paraId="6FB4507B">
            <w:pPr>
              <w:pStyle w:val="7"/>
              <w:ind w:left="0" w:leftChars="0" w:firstLine="0" w:firstLineChars="0"/>
              <w:rPr>
                <w:rFonts w:hint="eastAsia" w:ascii="仿宋_GB2312" w:hAnsi="仿宋_GB2312" w:eastAsia="仿宋_GB2312" w:cs="仿宋_GB2312"/>
                <w:b w:val="0"/>
                <w:bCs/>
                <w:color w:val="auto"/>
                <w:sz w:val="24"/>
                <w:szCs w:val="24"/>
                <w:lang w:val="en-US" w:eastAsia="zh-CN"/>
              </w:rPr>
            </w:pPr>
          </w:p>
        </w:tc>
        <w:tc>
          <w:tcPr>
            <w:tcW w:w="636" w:type="dxa"/>
            <w:noWrap w:val="0"/>
            <w:vAlign w:val="center"/>
          </w:tcPr>
          <w:p w14:paraId="2121C6C6">
            <w:pPr>
              <w:pStyle w:val="7"/>
              <w:ind w:left="0" w:leftChars="0" w:firstLine="0" w:firstLineChars="0"/>
              <w:rPr>
                <w:rFonts w:hint="eastAsia" w:ascii="仿宋_GB2312" w:hAnsi="仿宋_GB2312" w:eastAsia="仿宋_GB2312" w:cs="仿宋_GB2312"/>
                <w:b w:val="0"/>
                <w:bCs/>
                <w:color w:val="auto"/>
                <w:sz w:val="24"/>
                <w:szCs w:val="24"/>
                <w:lang w:val="en-US" w:eastAsia="zh-CN"/>
              </w:rPr>
            </w:pPr>
          </w:p>
        </w:tc>
      </w:tr>
      <w:tr w14:paraId="4E90E1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500" w:type="dxa"/>
            <w:vMerge w:val="restart"/>
            <w:noWrap w:val="0"/>
            <w:vAlign w:val="center"/>
          </w:tcPr>
          <w:p w14:paraId="137CBA01">
            <w:pPr>
              <w:snapToGrid w:val="0"/>
              <w:spacing w:line="300" w:lineRule="exact"/>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1</w:t>
            </w:r>
            <w:r>
              <w:rPr>
                <w:rFonts w:hint="eastAsia" w:ascii="仿宋_GB2312" w:hAnsi="仿宋_GB2312" w:cs="仿宋_GB2312"/>
                <w:b w:val="0"/>
                <w:bCs/>
                <w:color w:val="auto"/>
                <w:sz w:val="24"/>
                <w:szCs w:val="24"/>
                <w:lang w:val="en-US" w:eastAsia="zh-CN"/>
              </w:rPr>
              <w:t>0</w:t>
            </w:r>
            <w:r>
              <w:rPr>
                <w:rFonts w:hint="eastAsia" w:ascii="仿宋_GB2312" w:hAnsi="仿宋_GB2312" w:eastAsia="仿宋_GB2312" w:cs="仿宋_GB2312"/>
                <w:b w:val="0"/>
                <w:bCs/>
                <w:color w:val="auto"/>
                <w:sz w:val="24"/>
                <w:szCs w:val="24"/>
              </w:rPr>
              <w:t>.</w:t>
            </w:r>
            <w:r>
              <w:rPr>
                <w:rFonts w:hint="eastAsia" w:ascii="仿宋_GB2312" w:hAnsi="仿宋_GB2312" w:cs="仿宋_GB2312"/>
                <w:b w:val="0"/>
                <w:bCs/>
                <w:color w:val="auto"/>
                <w:sz w:val="24"/>
                <w:szCs w:val="24"/>
                <w:lang w:eastAsia="zh-CN"/>
              </w:rPr>
              <w:t>卫生间</w:t>
            </w:r>
          </w:p>
        </w:tc>
        <w:tc>
          <w:tcPr>
            <w:tcW w:w="5592" w:type="dxa"/>
            <w:noWrap w:val="0"/>
            <w:vAlign w:val="center"/>
          </w:tcPr>
          <w:p w14:paraId="11C4A6E8">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食品处理区内不得设置</w:t>
            </w:r>
            <w:r>
              <w:rPr>
                <w:rFonts w:hint="eastAsia" w:ascii="仿宋_GB2312" w:hAnsi="仿宋_GB2312" w:cs="仿宋_GB2312"/>
                <w:b w:val="0"/>
                <w:bCs/>
                <w:color w:val="auto"/>
                <w:sz w:val="24"/>
                <w:szCs w:val="24"/>
                <w:lang w:eastAsia="zh-CN"/>
              </w:rPr>
              <w:t>卫生间</w:t>
            </w:r>
            <w:r>
              <w:rPr>
                <w:rFonts w:hint="eastAsia" w:ascii="仿宋_GB2312" w:hAnsi="仿宋_GB2312" w:eastAsia="仿宋_GB2312" w:cs="仿宋_GB2312"/>
                <w:b w:val="0"/>
                <w:bCs/>
                <w:color w:val="auto"/>
                <w:sz w:val="24"/>
                <w:szCs w:val="24"/>
              </w:rPr>
              <w:t>。</w:t>
            </w:r>
          </w:p>
        </w:tc>
        <w:tc>
          <w:tcPr>
            <w:tcW w:w="600" w:type="dxa"/>
            <w:noWrap w:val="0"/>
            <w:vAlign w:val="center"/>
          </w:tcPr>
          <w:p w14:paraId="01B3D189">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28</w:t>
            </w:r>
          </w:p>
        </w:tc>
        <w:tc>
          <w:tcPr>
            <w:tcW w:w="600" w:type="dxa"/>
            <w:noWrap w:val="0"/>
            <w:vAlign w:val="center"/>
          </w:tcPr>
          <w:p w14:paraId="3F528BA4">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0A0EB4F0">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42AEA8B2">
            <w:pPr>
              <w:snapToGrid w:val="0"/>
              <w:spacing w:line="300" w:lineRule="exact"/>
              <w:rPr>
                <w:rFonts w:hint="eastAsia" w:ascii="仿宋_GB2312" w:hAnsi="仿宋_GB2312" w:eastAsia="仿宋_GB2312" w:cs="仿宋_GB2312"/>
                <w:b w:val="0"/>
                <w:bCs/>
                <w:color w:val="auto"/>
                <w:sz w:val="24"/>
                <w:szCs w:val="24"/>
              </w:rPr>
            </w:pPr>
          </w:p>
        </w:tc>
      </w:tr>
      <w:tr w14:paraId="02D85B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00" w:type="dxa"/>
            <w:vMerge w:val="continue"/>
            <w:noWrap w:val="0"/>
            <w:vAlign w:val="center"/>
          </w:tcPr>
          <w:p w14:paraId="1738F94D">
            <w:pPr>
              <w:snapToGrid w:val="0"/>
              <w:spacing w:line="300" w:lineRule="exact"/>
              <w:rPr>
                <w:rFonts w:hint="eastAsia" w:ascii="仿宋_GB2312" w:hAnsi="仿宋_GB2312" w:eastAsia="仿宋_GB2312" w:cs="仿宋_GB2312"/>
                <w:b w:val="0"/>
                <w:bCs/>
                <w:color w:val="auto"/>
                <w:sz w:val="24"/>
                <w:szCs w:val="24"/>
              </w:rPr>
            </w:pPr>
          </w:p>
        </w:tc>
        <w:tc>
          <w:tcPr>
            <w:tcW w:w="5592" w:type="dxa"/>
            <w:noWrap w:val="0"/>
            <w:vAlign w:val="center"/>
          </w:tcPr>
          <w:p w14:paraId="4301DCE1">
            <w:pPr>
              <w:snapToGrid w:val="0"/>
              <w:spacing w:line="300" w:lineRule="exact"/>
              <w:rPr>
                <w:rFonts w:hint="eastAsia" w:ascii="仿宋_GB2312" w:hAnsi="仿宋_GB2312" w:eastAsia="仿宋_GB2312" w:cs="仿宋_GB2312"/>
                <w:b w:val="0"/>
                <w:bCs/>
                <w:color w:val="auto"/>
                <w:sz w:val="24"/>
                <w:szCs w:val="24"/>
              </w:rPr>
            </w:pPr>
            <w:r>
              <w:rPr>
                <w:rFonts w:hint="eastAsia" w:ascii="仿宋_GB2312" w:hAnsi="仿宋_GB2312" w:cs="仿宋_GB2312"/>
                <w:b w:val="0"/>
                <w:bCs/>
                <w:color w:val="auto"/>
                <w:sz w:val="24"/>
                <w:szCs w:val="24"/>
                <w:lang w:eastAsia="zh-CN"/>
              </w:rPr>
              <w:t>卫生间</w:t>
            </w:r>
            <w:r>
              <w:rPr>
                <w:rFonts w:hint="eastAsia" w:ascii="仿宋_GB2312" w:hAnsi="仿宋_GB2312" w:eastAsia="仿宋_GB2312" w:cs="仿宋_GB2312"/>
                <w:b w:val="0"/>
                <w:bCs/>
                <w:color w:val="auto"/>
                <w:sz w:val="24"/>
                <w:szCs w:val="24"/>
              </w:rPr>
              <w:t>设置有效排气设施。</w:t>
            </w:r>
          </w:p>
        </w:tc>
        <w:tc>
          <w:tcPr>
            <w:tcW w:w="600" w:type="dxa"/>
            <w:noWrap w:val="0"/>
            <w:vAlign w:val="center"/>
          </w:tcPr>
          <w:p w14:paraId="2BBFDCC0">
            <w:pPr>
              <w:snapToGrid w:val="0"/>
              <w:spacing w:line="300" w:lineRule="exact"/>
              <w:jc w:val="center"/>
              <w:rPr>
                <w:rFonts w:hint="default" w:ascii="仿宋_GB2312" w:hAnsi="仿宋_GB2312" w:eastAsia="仿宋_GB2312" w:cs="仿宋_GB2312"/>
                <w:b w:val="0"/>
                <w:bCs/>
                <w:color w:val="auto"/>
                <w:sz w:val="24"/>
                <w:szCs w:val="24"/>
                <w:lang w:val="en-US" w:eastAsia="zh-CN"/>
              </w:rPr>
            </w:pPr>
            <w:r>
              <w:rPr>
                <w:rFonts w:hint="eastAsia" w:ascii="仿宋_GB2312" w:hAnsi="仿宋_GB2312" w:cs="仿宋_GB2312"/>
                <w:b w:val="0"/>
                <w:bCs/>
                <w:color w:val="auto"/>
                <w:sz w:val="24"/>
                <w:szCs w:val="24"/>
                <w:lang w:val="en-US" w:eastAsia="zh-CN"/>
              </w:rPr>
              <w:t>29</w:t>
            </w:r>
          </w:p>
        </w:tc>
        <w:tc>
          <w:tcPr>
            <w:tcW w:w="600" w:type="dxa"/>
            <w:noWrap w:val="0"/>
            <w:vAlign w:val="center"/>
          </w:tcPr>
          <w:p w14:paraId="418CC0C7">
            <w:pPr>
              <w:snapToGrid w:val="0"/>
              <w:spacing w:line="300" w:lineRule="exact"/>
              <w:rPr>
                <w:rFonts w:hint="eastAsia" w:ascii="仿宋_GB2312" w:hAnsi="仿宋_GB2312" w:eastAsia="仿宋_GB2312" w:cs="仿宋_GB2312"/>
                <w:b w:val="0"/>
                <w:bCs/>
                <w:color w:val="auto"/>
                <w:sz w:val="24"/>
                <w:szCs w:val="24"/>
              </w:rPr>
            </w:pPr>
          </w:p>
        </w:tc>
        <w:tc>
          <w:tcPr>
            <w:tcW w:w="705" w:type="dxa"/>
            <w:noWrap w:val="0"/>
            <w:vAlign w:val="center"/>
          </w:tcPr>
          <w:p w14:paraId="42FAD80A">
            <w:pPr>
              <w:snapToGrid w:val="0"/>
              <w:spacing w:line="300" w:lineRule="exact"/>
              <w:rPr>
                <w:rFonts w:hint="eastAsia" w:ascii="仿宋_GB2312" w:hAnsi="仿宋_GB2312" w:eastAsia="仿宋_GB2312" w:cs="仿宋_GB2312"/>
                <w:b w:val="0"/>
                <w:bCs/>
                <w:color w:val="auto"/>
                <w:sz w:val="24"/>
                <w:szCs w:val="24"/>
              </w:rPr>
            </w:pPr>
          </w:p>
        </w:tc>
        <w:tc>
          <w:tcPr>
            <w:tcW w:w="636" w:type="dxa"/>
            <w:noWrap w:val="0"/>
            <w:vAlign w:val="center"/>
          </w:tcPr>
          <w:p w14:paraId="171BA7DD">
            <w:pPr>
              <w:snapToGrid w:val="0"/>
              <w:spacing w:line="300" w:lineRule="exact"/>
              <w:rPr>
                <w:rFonts w:hint="eastAsia" w:ascii="仿宋_GB2312" w:hAnsi="仿宋_GB2312" w:eastAsia="仿宋_GB2312" w:cs="仿宋_GB2312"/>
                <w:b w:val="0"/>
                <w:bCs/>
                <w:color w:val="auto"/>
                <w:sz w:val="24"/>
                <w:szCs w:val="24"/>
              </w:rPr>
            </w:pPr>
          </w:p>
        </w:tc>
      </w:tr>
    </w:tbl>
    <w:p w14:paraId="308725BD">
      <w:pPr>
        <w:spacing w:line="580" w:lineRule="exact"/>
        <w:jc w:val="center"/>
        <w:rPr>
          <w:rFonts w:hint="eastAsia" w:ascii="方正小标宋简体" w:hAnsi="华文中宋" w:eastAsia="方正小标宋简体"/>
          <w:color w:val="auto"/>
          <w:szCs w:val="32"/>
        </w:rPr>
      </w:pPr>
    </w:p>
    <w:p w14:paraId="60EDE1AB">
      <w:pPr>
        <w:pStyle w:val="2"/>
        <w:rPr>
          <w:rFonts w:hint="eastAsia"/>
        </w:rPr>
      </w:pPr>
    </w:p>
    <w:p w14:paraId="437DD483">
      <w:pPr>
        <w:rPr>
          <w:rFonts w:hint="eastAsia"/>
        </w:rPr>
      </w:pPr>
    </w:p>
    <w:p w14:paraId="4BC1B87B">
      <w:pPr>
        <w:pStyle w:val="2"/>
        <w:rPr>
          <w:rFonts w:hint="eastAsia"/>
        </w:rPr>
      </w:pPr>
    </w:p>
    <w:p w14:paraId="72B8BB58">
      <w:pPr>
        <w:rPr>
          <w:rFonts w:hint="eastAsia"/>
        </w:rPr>
      </w:pPr>
    </w:p>
    <w:p w14:paraId="5B3F88DC">
      <w:pPr>
        <w:pStyle w:val="2"/>
        <w:rPr>
          <w:rFonts w:hint="eastAsia"/>
        </w:rPr>
      </w:pPr>
    </w:p>
    <w:p w14:paraId="3A0CC219">
      <w:pPr>
        <w:rPr>
          <w:rFonts w:hint="eastAsia"/>
        </w:rPr>
      </w:pPr>
    </w:p>
    <w:p w14:paraId="10543F6F">
      <w:pPr>
        <w:pStyle w:val="2"/>
        <w:rPr>
          <w:rFonts w:hint="eastAsia"/>
        </w:rPr>
      </w:pPr>
    </w:p>
    <w:p w14:paraId="29F18D4D">
      <w:pPr>
        <w:rPr>
          <w:rFonts w:hint="eastAsia"/>
        </w:rPr>
      </w:pPr>
    </w:p>
    <w:p w14:paraId="11133BC3">
      <w:pPr>
        <w:pStyle w:val="2"/>
        <w:rPr>
          <w:rFonts w:hint="eastAsia"/>
        </w:rPr>
      </w:pPr>
    </w:p>
    <w:p w14:paraId="76178E2D">
      <w:pPr>
        <w:rPr>
          <w:rFonts w:hint="eastAsia"/>
        </w:rPr>
      </w:pPr>
    </w:p>
    <w:p w14:paraId="7FDE595C">
      <w:pPr>
        <w:spacing w:line="580" w:lineRule="exact"/>
        <w:jc w:val="center"/>
        <w:rPr>
          <w:rFonts w:hint="eastAsia" w:ascii="方正小标宋简体" w:hAnsi="华文中宋" w:eastAsia="方正小标宋简体"/>
          <w:color w:val="auto"/>
          <w:szCs w:val="32"/>
        </w:rPr>
      </w:pPr>
    </w:p>
    <w:p w14:paraId="7633693D">
      <w:pPr>
        <w:pStyle w:val="2"/>
        <w:rPr>
          <w:rFonts w:hint="eastAsia" w:ascii="方正小标宋简体" w:hAnsi="华文中宋" w:eastAsia="方正小标宋简体"/>
          <w:color w:val="auto"/>
          <w:szCs w:val="32"/>
        </w:rPr>
      </w:pPr>
    </w:p>
    <w:p w14:paraId="209C7F10">
      <w:pPr>
        <w:rPr>
          <w:rFonts w:hint="eastAsia"/>
        </w:rPr>
      </w:pPr>
    </w:p>
    <w:p w14:paraId="7713B24D">
      <w:pPr>
        <w:spacing w:line="580" w:lineRule="exact"/>
        <w:jc w:val="center"/>
        <w:rPr>
          <w:rFonts w:hint="eastAsia" w:ascii="方正小标宋简体" w:hAnsi="华文中宋" w:eastAsia="方正小标宋简体"/>
          <w:color w:val="auto"/>
          <w:szCs w:val="32"/>
          <w:lang w:eastAsia="zh-CN"/>
        </w:rPr>
      </w:pPr>
      <w:r>
        <w:rPr>
          <w:rFonts w:hint="eastAsia" w:ascii="方正小标宋简体" w:hAnsi="华文中宋" w:eastAsia="方正小标宋简体"/>
          <w:color w:val="auto"/>
          <w:szCs w:val="32"/>
        </w:rPr>
        <w:t>第</w:t>
      </w:r>
      <w:r>
        <w:rPr>
          <w:rFonts w:hint="eastAsia" w:ascii="方正小标宋简体" w:hAnsi="华文中宋" w:eastAsia="方正小标宋简体"/>
          <w:color w:val="auto"/>
          <w:szCs w:val="32"/>
          <w:lang w:eastAsia="zh-CN"/>
        </w:rPr>
        <w:t>四</w:t>
      </w:r>
      <w:r>
        <w:rPr>
          <w:rFonts w:hint="eastAsia" w:ascii="方正小标宋简体" w:hAnsi="华文中宋" w:eastAsia="方正小标宋简体"/>
          <w:color w:val="auto"/>
          <w:szCs w:val="32"/>
        </w:rPr>
        <w:t>类</w:t>
      </w:r>
      <w:r>
        <w:rPr>
          <w:rFonts w:hint="eastAsia" w:ascii="方正小标宋简体" w:hAnsi="华文中宋" w:eastAsia="方正小标宋简体"/>
          <w:color w:val="auto"/>
          <w:szCs w:val="32"/>
          <w:lang w:val="en-US" w:eastAsia="zh-CN"/>
        </w:rPr>
        <w:t xml:space="preserve"> </w:t>
      </w:r>
      <w:r>
        <w:rPr>
          <w:rFonts w:hint="eastAsia" w:ascii="方正小标宋简体" w:hAnsi="华文中宋" w:eastAsia="方正小标宋简体"/>
          <w:color w:val="auto"/>
          <w:szCs w:val="32"/>
        </w:rPr>
        <w:t>食品经营许可现场核查</w:t>
      </w:r>
      <w:r>
        <w:rPr>
          <w:rFonts w:hint="eastAsia" w:ascii="方正小标宋简体" w:hAnsi="华文中宋" w:eastAsia="方正小标宋简体"/>
          <w:color w:val="auto"/>
          <w:szCs w:val="32"/>
          <w:lang w:eastAsia="zh-CN"/>
        </w:rPr>
        <w:t>内容</w:t>
      </w:r>
    </w:p>
    <w:p w14:paraId="25905B3D">
      <w:pPr>
        <w:spacing w:line="580" w:lineRule="exact"/>
        <w:jc w:val="center"/>
        <w:rPr>
          <w:rFonts w:ascii="楷体" w:hAnsi="楷体" w:eastAsia="楷体"/>
          <w:b/>
          <w:color w:val="auto"/>
          <w:szCs w:val="32"/>
        </w:rPr>
      </w:pPr>
      <w:r>
        <w:rPr>
          <w:rFonts w:hint="eastAsia" w:ascii="楷体" w:hAnsi="楷体" w:eastAsia="楷体"/>
          <w:color w:val="auto"/>
          <w:szCs w:val="32"/>
        </w:rPr>
        <w:t>（适用于从事食品经营</w:t>
      </w:r>
      <w:r>
        <w:rPr>
          <w:rFonts w:hint="eastAsia" w:ascii="楷体" w:hAnsi="楷体" w:eastAsia="楷体"/>
          <w:color w:val="auto"/>
          <w:szCs w:val="32"/>
          <w:lang w:eastAsia="zh-CN"/>
        </w:rPr>
        <w:t>管理</w:t>
      </w:r>
      <w:r>
        <w:rPr>
          <w:rFonts w:hint="eastAsia" w:ascii="楷体" w:hAnsi="楷体" w:eastAsia="楷体"/>
          <w:color w:val="auto"/>
          <w:szCs w:val="32"/>
        </w:rPr>
        <w:t>的经营者）</w:t>
      </w:r>
    </w:p>
    <w:p w14:paraId="7332A4C2">
      <w:pPr>
        <w:snapToGrid w:val="0"/>
        <w:spacing w:line="300" w:lineRule="exact"/>
        <w:rPr>
          <w:rFonts w:hint="eastAsia" w:ascii="仿宋_GB2312" w:hAnsi="仿宋_GB2312" w:cs="仿宋_GB2312"/>
          <w:color w:val="auto"/>
          <w:sz w:val="24"/>
        </w:rPr>
      </w:pPr>
    </w:p>
    <w:p w14:paraId="59A6FAC2">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经营者名称：                              </w:t>
      </w:r>
      <w:r>
        <w:rPr>
          <w:rFonts w:hint="eastAsia" w:ascii="仿宋_GB2312" w:hAnsi="仿宋_GB2312" w:cs="仿宋_GB2312"/>
          <w:color w:val="auto"/>
          <w:sz w:val="24"/>
          <w:lang w:val="en-US" w:eastAsia="zh-CN"/>
        </w:rPr>
        <w:t xml:space="preserve"> </w:t>
      </w:r>
      <w:r>
        <w:rPr>
          <w:rFonts w:hint="eastAsia" w:ascii="仿宋_GB2312" w:hAnsi="仿宋_GB2312" w:cs="仿宋_GB2312"/>
          <w:color w:val="auto"/>
          <w:sz w:val="24"/>
        </w:rPr>
        <w:t xml:space="preserve"> 地    址：                              </w:t>
      </w:r>
    </w:p>
    <w:p w14:paraId="4D535BCA">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申请经营业态:                               申请经营项目：                         </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462"/>
        <w:gridCol w:w="523"/>
        <w:gridCol w:w="763"/>
        <w:gridCol w:w="945"/>
        <w:gridCol w:w="720"/>
      </w:tblGrid>
      <w:tr w14:paraId="625FF1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26" w:type="dxa"/>
            <w:vMerge w:val="restart"/>
            <w:noWrap w:val="0"/>
            <w:vAlign w:val="center"/>
          </w:tcPr>
          <w:p w14:paraId="42FD246B">
            <w:pPr>
              <w:spacing w:line="360" w:lineRule="exact"/>
              <w:jc w:val="center"/>
              <w:rPr>
                <w:rFonts w:ascii="宋体" w:hAnsi="宋体" w:eastAsia="宋体"/>
                <w:b/>
                <w:color w:val="auto"/>
                <w:sz w:val="24"/>
              </w:rPr>
            </w:pPr>
            <w:r>
              <w:rPr>
                <w:rFonts w:hint="eastAsia" w:ascii="宋体" w:hAnsi="宋体" w:eastAsia="宋体"/>
                <w:b/>
                <w:color w:val="auto"/>
                <w:sz w:val="24"/>
              </w:rPr>
              <w:t>核查内容</w:t>
            </w:r>
          </w:p>
        </w:tc>
        <w:tc>
          <w:tcPr>
            <w:tcW w:w="5462" w:type="dxa"/>
            <w:vMerge w:val="restart"/>
            <w:noWrap w:val="0"/>
            <w:vAlign w:val="center"/>
          </w:tcPr>
          <w:p w14:paraId="0C1181A8">
            <w:pPr>
              <w:spacing w:line="360" w:lineRule="exact"/>
              <w:jc w:val="center"/>
              <w:rPr>
                <w:rFonts w:ascii="宋体" w:hAnsi="宋体" w:eastAsia="宋体"/>
                <w:b/>
                <w:color w:val="auto"/>
                <w:sz w:val="24"/>
              </w:rPr>
            </w:pPr>
            <w:r>
              <w:rPr>
                <w:rFonts w:hint="eastAsia" w:ascii="宋体" w:hAnsi="宋体" w:eastAsia="宋体"/>
                <w:b/>
                <w:color w:val="auto"/>
                <w:sz w:val="24"/>
              </w:rPr>
              <w:t>核查和评价标准</w:t>
            </w:r>
          </w:p>
        </w:tc>
        <w:tc>
          <w:tcPr>
            <w:tcW w:w="523" w:type="dxa"/>
            <w:vMerge w:val="restart"/>
            <w:noWrap w:val="0"/>
            <w:vAlign w:val="center"/>
          </w:tcPr>
          <w:p w14:paraId="51066E33">
            <w:pPr>
              <w:spacing w:line="360" w:lineRule="exact"/>
              <w:jc w:val="center"/>
              <w:rPr>
                <w:rFonts w:ascii="宋体" w:hAnsi="宋体" w:eastAsia="宋体"/>
                <w:b/>
                <w:color w:val="auto"/>
                <w:sz w:val="24"/>
              </w:rPr>
            </w:pPr>
            <w:r>
              <w:rPr>
                <w:rFonts w:hint="eastAsia" w:ascii="宋体" w:hAnsi="宋体" w:eastAsia="宋体"/>
                <w:b/>
                <w:color w:val="auto"/>
                <w:sz w:val="24"/>
                <w:lang w:eastAsia="zh-CN"/>
              </w:rPr>
              <w:t>序</w:t>
            </w:r>
            <w:r>
              <w:rPr>
                <w:rFonts w:hint="eastAsia" w:ascii="宋体" w:hAnsi="宋体" w:eastAsia="宋体"/>
                <w:b/>
                <w:color w:val="auto"/>
                <w:sz w:val="24"/>
              </w:rPr>
              <w:t>号</w:t>
            </w:r>
          </w:p>
        </w:tc>
        <w:tc>
          <w:tcPr>
            <w:tcW w:w="2428" w:type="dxa"/>
            <w:gridSpan w:val="3"/>
            <w:noWrap w:val="0"/>
            <w:vAlign w:val="center"/>
          </w:tcPr>
          <w:p w14:paraId="580B556A">
            <w:pPr>
              <w:spacing w:line="360" w:lineRule="exact"/>
              <w:jc w:val="center"/>
              <w:rPr>
                <w:rFonts w:ascii="宋体" w:hAnsi="宋体" w:eastAsia="宋体"/>
                <w:b/>
                <w:color w:val="auto"/>
                <w:sz w:val="24"/>
              </w:rPr>
            </w:pPr>
            <w:r>
              <w:rPr>
                <w:rFonts w:hint="eastAsia" w:ascii="宋体" w:hAnsi="宋体" w:eastAsia="宋体"/>
                <w:b/>
                <w:color w:val="auto"/>
                <w:sz w:val="24"/>
              </w:rPr>
              <w:t>结果判定</w:t>
            </w:r>
          </w:p>
        </w:tc>
      </w:tr>
      <w:tr w14:paraId="0DD021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26" w:type="dxa"/>
            <w:vMerge w:val="continue"/>
            <w:noWrap w:val="0"/>
            <w:vAlign w:val="center"/>
          </w:tcPr>
          <w:p w14:paraId="21C2DF39">
            <w:pPr>
              <w:spacing w:line="360" w:lineRule="exact"/>
              <w:rPr>
                <w:rFonts w:ascii="宋体" w:hAnsi="宋体" w:eastAsia="宋体"/>
                <w:b/>
                <w:color w:val="auto"/>
                <w:sz w:val="24"/>
              </w:rPr>
            </w:pPr>
          </w:p>
        </w:tc>
        <w:tc>
          <w:tcPr>
            <w:tcW w:w="5462" w:type="dxa"/>
            <w:vMerge w:val="continue"/>
            <w:noWrap w:val="0"/>
            <w:vAlign w:val="center"/>
          </w:tcPr>
          <w:p w14:paraId="176A2F78">
            <w:pPr>
              <w:spacing w:line="360" w:lineRule="exact"/>
              <w:rPr>
                <w:rFonts w:ascii="宋体" w:hAnsi="宋体" w:eastAsia="宋体"/>
                <w:b/>
                <w:color w:val="auto"/>
                <w:sz w:val="24"/>
              </w:rPr>
            </w:pPr>
          </w:p>
        </w:tc>
        <w:tc>
          <w:tcPr>
            <w:tcW w:w="523" w:type="dxa"/>
            <w:vMerge w:val="continue"/>
            <w:noWrap w:val="0"/>
            <w:vAlign w:val="center"/>
          </w:tcPr>
          <w:p w14:paraId="57BF3D66">
            <w:pPr>
              <w:spacing w:line="360" w:lineRule="exact"/>
              <w:jc w:val="center"/>
              <w:rPr>
                <w:rFonts w:ascii="宋体" w:hAnsi="宋体" w:eastAsia="宋体"/>
                <w:b/>
                <w:color w:val="auto"/>
                <w:sz w:val="24"/>
              </w:rPr>
            </w:pPr>
          </w:p>
        </w:tc>
        <w:tc>
          <w:tcPr>
            <w:tcW w:w="763" w:type="dxa"/>
            <w:noWrap w:val="0"/>
            <w:vAlign w:val="center"/>
          </w:tcPr>
          <w:p w14:paraId="23BE0C5A">
            <w:pPr>
              <w:spacing w:line="360" w:lineRule="exact"/>
              <w:jc w:val="center"/>
              <w:rPr>
                <w:rFonts w:ascii="宋体" w:hAnsi="宋体" w:eastAsia="宋体"/>
                <w:b/>
                <w:color w:val="auto"/>
                <w:sz w:val="24"/>
              </w:rPr>
            </w:pPr>
            <w:r>
              <w:rPr>
                <w:rFonts w:hint="eastAsia" w:ascii="宋体" w:hAnsi="宋体" w:eastAsia="宋体"/>
                <w:b/>
                <w:color w:val="auto"/>
                <w:sz w:val="24"/>
              </w:rPr>
              <w:t>符合</w:t>
            </w:r>
          </w:p>
        </w:tc>
        <w:tc>
          <w:tcPr>
            <w:tcW w:w="945" w:type="dxa"/>
            <w:noWrap w:val="0"/>
            <w:vAlign w:val="center"/>
          </w:tcPr>
          <w:p w14:paraId="68A886B5">
            <w:pPr>
              <w:spacing w:line="360" w:lineRule="exact"/>
              <w:jc w:val="center"/>
              <w:rPr>
                <w:rFonts w:ascii="宋体" w:hAnsi="宋体" w:eastAsia="宋体"/>
                <w:b/>
                <w:color w:val="auto"/>
                <w:sz w:val="24"/>
              </w:rPr>
            </w:pPr>
            <w:r>
              <w:rPr>
                <w:rFonts w:hint="eastAsia" w:ascii="宋体" w:hAnsi="宋体" w:eastAsia="宋体"/>
                <w:b/>
                <w:color w:val="auto"/>
                <w:sz w:val="24"/>
              </w:rPr>
              <w:t>不符合</w:t>
            </w:r>
          </w:p>
        </w:tc>
        <w:tc>
          <w:tcPr>
            <w:tcW w:w="720" w:type="dxa"/>
            <w:noWrap w:val="0"/>
            <w:vAlign w:val="center"/>
          </w:tcPr>
          <w:p w14:paraId="38A98AA0">
            <w:pPr>
              <w:spacing w:line="360" w:lineRule="exact"/>
              <w:rPr>
                <w:rFonts w:ascii="宋体" w:hAnsi="宋体" w:eastAsia="宋体"/>
                <w:b/>
                <w:color w:val="auto"/>
                <w:sz w:val="24"/>
              </w:rPr>
            </w:pPr>
            <w:r>
              <w:rPr>
                <w:rFonts w:hint="eastAsia" w:ascii="宋体" w:hAnsi="宋体" w:eastAsia="宋体"/>
                <w:b/>
                <w:color w:val="auto"/>
                <w:sz w:val="24"/>
              </w:rPr>
              <w:t>合理缺项</w:t>
            </w:r>
          </w:p>
        </w:tc>
      </w:tr>
      <w:tr w14:paraId="16E4F5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226" w:type="dxa"/>
            <w:noWrap w:val="0"/>
            <w:vAlign w:val="center"/>
          </w:tcPr>
          <w:p w14:paraId="0F4D2778">
            <w:pPr>
              <w:spacing w:line="360" w:lineRule="exact"/>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lang w:val="en-US" w:eastAsia="zh-CN"/>
              </w:rPr>
              <w:t>1.</w:t>
            </w:r>
            <w:r>
              <w:rPr>
                <w:rFonts w:hint="eastAsia" w:ascii="仿宋_GB2312" w:hAnsi="仿宋_GB2312" w:cs="仿宋_GB2312"/>
                <w:color w:val="auto"/>
                <w:sz w:val="24"/>
                <w:lang w:eastAsia="zh-CN"/>
              </w:rPr>
              <w:t>机构</w:t>
            </w:r>
          </w:p>
        </w:tc>
        <w:tc>
          <w:tcPr>
            <w:tcW w:w="5462" w:type="dxa"/>
            <w:noWrap w:val="0"/>
            <w:vAlign w:val="center"/>
          </w:tcPr>
          <w:p w14:paraId="77BD3003">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设置独立的食品安全管理部门和组织机构。</w:t>
            </w:r>
          </w:p>
        </w:tc>
        <w:tc>
          <w:tcPr>
            <w:tcW w:w="523" w:type="dxa"/>
            <w:noWrap w:val="0"/>
            <w:vAlign w:val="center"/>
          </w:tcPr>
          <w:p w14:paraId="5CCAC2AA">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1</w:t>
            </w:r>
          </w:p>
        </w:tc>
        <w:tc>
          <w:tcPr>
            <w:tcW w:w="763" w:type="dxa"/>
            <w:noWrap w:val="0"/>
            <w:vAlign w:val="center"/>
          </w:tcPr>
          <w:p w14:paraId="1B2736E3">
            <w:pPr>
              <w:spacing w:line="360" w:lineRule="exact"/>
              <w:jc w:val="center"/>
              <w:rPr>
                <w:rFonts w:hint="eastAsia" w:ascii="仿宋_GB2312" w:hAnsi="仿宋_GB2312" w:cs="仿宋_GB2312"/>
                <w:color w:val="auto"/>
                <w:sz w:val="24"/>
              </w:rPr>
            </w:pPr>
          </w:p>
        </w:tc>
        <w:tc>
          <w:tcPr>
            <w:tcW w:w="945" w:type="dxa"/>
            <w:noWrap w:val="0"/>
            <w:vAlign w:val="center"/>
          </w:tcPr>
          <w:p w14:paraId="2FD84697">
            <w:pPr>
              <w:spacing w:line="360" w:lineRule="exact"/>
              <w:jc w:val="center"/>
              <w:rPr>
                <w:rFonts w:hint="eastAsia" w:ascii="仿宋_GB2312" w:hAnsi="仿宋_GB2312" w:cs="仿宋_GB2312"/>
                <w:color w:val="auto"/>
                <w:sz w:val="24"/>
              </w:rPr>
            </w:pPr>
          </w:p>
        </w:tc>
        <w:tc>
          <w:tcPr>
            <w:tcW w:w="720" w:type="dxa"/>
            <w:noWrap w:val="0"/>
            <w:vAlign w:val="center"/>
          </w:tcPr>
          <w:p w14:paraId="3B34C2B4">
            <w:pPr>
              <w:spacing w:line="360" w:lineRule="exact"/>
              <w:jc w:val="center"/>
              <w:rPr>
                <w:rFonts w:hint="eastAsia" w:ascii="仿宋_GB2312" w:hAnsi="仿宋_GB2312" w:cs="仿宋_GB2312"/>
                <w:color w:val="auto"/>
                <w:sz w:val="24"/>
              </w:rPr>
            </w:pPr>
          </w:p>
        </w:tc>
      </w:tr>
      <w:tr w14:paraId="7D31BC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1226" w:type="dxa"/>
            <w:vMerge w:val="restart"/>
            <w:noWrap w:val="0"/>
            <w:vAlign w:val="center"/>
          </w:tcPr>
          <w:p w14:paraId="265D9FB2">
            <w:pPr>
              <w:spacing w:line="360" w:lineRule="exact"/>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2.管理制度</w:t>
            </w:r>
          </w:p>
        </w:tc>
        <w:tc>
          <w:tcPr>
            <w:tcW w:w="5462" w:type="dxa"/>
            <w:noWrap w:val="0"/>
            <w:vAlign w:val="center"/>
          </w:tcPr>
          <w:p w14:paraId="77B35DF9">
            <w:pPr>
              <w:spacing w:line="360" w:lineRule="exact"/>
              <w:rPr>
                <w:rFonts w:hint="eastAsia"/>
                <w:lang w:val="zh-CN"/>
              </w:rPr>
            </w:pPr>
            <w:r>
              <w:rPr>
                <w:rFonts w:hint="eastAsia" w:ascii="仿宋_GB2312" w:hAnsi="仿宋_GB2312" w:cs="仿宋_GB2312"/>
                <w:b w:val="0"/>
                <w:bCs/>
                <w:color w:val="auto"/>
                <w:sz w:val="24"/>
                <w:szCs w:val="24"/>
                <w:lang w:val="en-US" w:eastAsia="zh-CN"/>
              </w:rPr>
              <w:t>制定食品安全风险管控清单，建立</w:t>
            </w:r>
            <w:r>
              <w:rPr>
                <w:rFonts w:hint="eastAsia" w:ascii="仿宋_GB2312" w:hAnsi="仿宋_GB2312" w:eastAsia="仿宋_GB2312" w:cs="仿宋_GB2312"/>
                <w:b w:val="0"/>
                <w:bCs/>
                <w:color w:val="auto"/>
                <w:sz w:val="24"/>
                <w:szCs w:val="24"/>
                <w:lang w:val="en-US" w:eastAsia="zh-CN"/>
              </w:rPr>
              <w:t>日管控、周排查、月调度</w:t>
            </w:r>
            <w:r>
              <w:rPr>
                <w:rFonts w:hint="eastAsia" w:ascii="仿宋_GB2312" w:hAnsi="仿宋_GB2312" w:cs="仿宋_GB2312"/>
                <w:b w:val="0"/>
                <w:bCs/>
                <w:color w:val="auto"/>
                <w:sz w:val="24"/>
                <w:szCs w:val="24"/>
                <w:lang w:val="en-US" w:eastAsia="zh-CN"/>
              </w:rPr>
              <w:t>工作</w:t>
            </w:r>
            <w:r>
              <w:rPr>
                <w:rFonts w:hint="eastAsia" w:ascii="仿宋_GB2312" w:hAnsi="仿宋_GB2312" w:eastAsia="仿宋_GB2312" w:cs="仿宋_GB2312"/>
                <w:b w:val="0"/>
                <w:bCs/>
                <w:color w:val="auto"/>
                <w:sz w:val="24"/>
                <w:szCs w:val="24"/>
                <w:lang w:val="en-US" w:eastAsia="zh-CN"/>
              </w:rPr>
              <w:t>制度</w:t>
            </w:r>
            <w:r>
              <w:rPr>
                <w:rFonts w:hint="eastAsia" w:ascii="仿宋_GB2312" w:hAnsi="仿宋_GB2312" w:cs="仿宋_GB2312"/>
                <w:b w:val="0"/>
                <w:bCs/>
                <w:color w:val="auto"/>
                <w:sz w:val="24"/>
                <w:szCs w:val="24"/>
                <w:lang w:val="en-US" w:eastAsia="zh-CN"/>
              </w:rPr>
              <w:t>和机制</w:t>
            </w:r>
            <w:r>
              <w:rPr>
                <w:rFonts w:hint="eastAsia" w:ascii="仿宋_GB2312" w:hAnsi="仿宋_GB2312" w:eastAsia="仿宋_GB2312" w:cs="仿宋_GB2312"/>
                <w:b w:val="0"/>
                <w:bCs/>
                <w:color w:val="auto"/>
                <w:sz w:val="24"/>
                <w:szCs w:val="24"/>
                <w:lang w:val="en-US" w:eastAsia="zh-CN"/>
              </w:rPr>
              <w:t>，</w:t>
            </w:r>
            <w:r>
              <w:rPr>
                <w:rFonts w:hint="eastAsia" w:ascii="仿宋_GB2312" w:hAnsi="仿宋_GB2312" w:cs="仿宋_GB2312"/>
                <w:b w:val="0"/>
                <w:bCs/>
                <w:color w:val="auto"/>
                <w:sz w:val="24"/>
                <w:szCs w:val="24"/>
                <w:lang w:val="en-US" w:eastAsia="zh-CN"/>
              </w:rPr>
              <w:t>有</w:t>
            </w:r>
            <w:r>
              <w:rPr>
                <w:rFonts w:hint="eastAsia" w:ascii="仿宋_GB2312" w:hAnsi="仿宋_GB2312" w:eastAsia="仿宋_GB2312" w:cs="仿宋_GB2312"/>
                <w:b w:val="0"/>
                <w:bCs/>
                <w:color w:val="auto"/>
                <w:sz w:val="24"/>
                <w:szCs w:val="24"/>
                <w:lang w:val="en-US" w:eastAsia="zh-CN"/>
              </w:rPr>
              <w:t>食品安全事故处置方案</w:t>
            </w:r>
            <w:r>
              <w:rPr>
                <w:rFonts w:hint="eastAsia" w:ascii="仿宋_GB2312" w:hAnsi="仿宋_GB2312" w:cs="仿宋_GB2312"/>
                <w:b w:val="0"/>
                <w:bCs/>
                <w:color w:val="auto"/>
                <w:sz w:val="24"/>
                <w:szCs w:val="24"/>
                <w:lang w:val="en-US" w:eastAsia="zh-CN"/>
              </w:rPr>
              <w:t>，建立</w:t>
            </w:r>
            <w:r>
              <w:rPr>
                <w:rFonts w:hint="eastAsia" w:ascii="仿宋_GB2312" w:hAnsi="仿宋_GB2312" w:cs="仿宋_GB2312"/>
                <w:color w:val="auto"/>
                <w:sz w:val="24"/>
                <w:lang w:val="zh-CN"/>
              </w:rPr>
              <w:t>原料供货商管理评价制度以及退出机制。</w:t>
            </w:r>
          </w:p>
        </w:tc>
        <w:tc>
          <w:tcPr>
            <w:tcW w:w="523" w:type="dxa"/>
            <w:noWrap w:val="0"/>
            <w:vAlign w:val="center"/>
          </w:tcPr>
          <w:p w14:paraId="51E51CCE">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2</w:t>
            </w:r>
          </w:p>
        </w:tc>
        <w:tc>
          <w:tcPr>
            <w:tcW w:w="763" w:type="dxa"/>
            <w:noWrap w:val="0"/>
            <w:vAlign w:val="center"/>
          </w:tcPr>
          <w:p w14:paraId="204A055E">
            <w:pPr>
              <w:spacing w:line="360" w:lineRule="exact"/>
              <w:jc w:val="center"/>
              <w:rPr>
                <w:rFonts w:hint="eastAsia" w:ascii="仿宋_GB2312" w:hAnsi="仿宋_GB2312" w:cs="仿宋_GB2312"/>
                <w:color w:val="auto"/>
                <w:sz w:val="24"/>
              </w:rPr>
            </w:pPr>
          </w:p>
        </w:tc>
        <w:tc>
          <w:tcPr>
            <w:tcW w:w="945" w:type="dxa"/>
            <w:noWrap w:val="0"/>
            <w:vAlign w:val="center"/>
          </w:tcPr>
          <w:p w14:paraId="53F41178">
            <w:pPr>
              <w:spacing w:line="360" w:lineRule="exact"/>
              <w:jc w:val="center"/>
              <w:rPr>
                <w:rFonts w:hint="eastAsia" w:ascii="仿宋_GB2312" w:hAnsi="仿宋_GB2312" w:cs="仿宋_GB2312"/>
                <w:color w:val="auto"/>
                <w:sz w:val="24"/>
              </w:rPr>
            </w:pPr>
          </w:p>
        </w:tc>
        <w:tc>
          <w:tcPr>
            <w:tcW w:w="720" w:type="dxa"/>
            <w:noWrap w:val="0"/>
            <w:vAlign w:val="center"/>
          </w:tcPr>
          <w:p w14:paraId="15591438">
            <w:pPr>
              <w:spacing w:line="360" w:lineRule="exact"/>
              <w:jc w:val="center"/>
              <w:rPr>
                <w:rFonts w:hint="eastAsia" w:ascii="仿宋_GB2312" w:hAnsi="仿宋_GB2312" w:cs="仿宋_GB2312"/>
                <w:color w:val="auto"/>
                <w:sz w:val="24"/>
              </w:rPr>
            </w:pPr>
          </w:p>
        </w:tc>
      </w:tr>
      <w:tr w14:paraId="1EC3BC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226" w:type="dxa"/>
            <w:vMerge w:val="continue"/>
            <w:noWrap w:val="0"/>
            <w:vAlign w:val="center"/>
          </w:tcPr>
          <w:p w14:paraId="14E2D29A">
            <w:pPr>
              <w:spacing w:line="360" w:lineRule="exact"/>
              <w:rPr>
                <w:rFonts w:hint="eastAsia" w:ascii="仿宋_GB2312" w:hAnsi="仿宋_GB2312" w:cs="仿宋_GB2312"/>
                <w:color w:val="auto"/>
                <w:sz w:val="24"/>
                <w:lang w:val="en-US" w:eastAsia="zh-CN"/>
              </w:rPr>
            </w:pPr>
          </w:p>
        </w:tc>
        <w:tc>
          <w:tcPr>
            <w:tcW w:w="5462" w:type="dxa"/>
            <w:noWrap w:val="0"/>
            <w:vAlign w:val="center"/>
          </w:tcPr>
          <w:p w14:paraId="6994C113">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食品销售连锁企业总部和餐饮服务连锁企业总部有与连锁管理运营模式相适应的中央厨房管理、配送中心管理、门店巡查、内控等制度。</w:t>
            </w:r>
          </w:p>
        </w:tc>
        <w:tc>
          <w:tcPr>
            <w:tcW w:w="523" w:type="dxa"/>
            <w:noWrap w:val="0"/>
            <w:vAlign w:val="center"/>
          </w:tcPr>
          <w:p w14:paraId="49E1F304">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3</w:t>
            </w:r>
          </w:p>
        </w:tc>
        <w:tc>
          <w:tcPr>
            <w:tcW w:w="763" w:type="dxa"/>
            <w:noWrap w:val="0"/>
            <w:vAlign w:val="center"/>
          </w:tcPr>
          <w:p w14:paraId="094687C0">
            <w:pPr>
              <w:spacing w:line="360" w:lineRule="exact"/>
              <w:jc w:val="center"/>
              <w:rPr>
                <w:rFonts w:hint="eastAsia" w:ascii="仿宋_GB2312" w:hAnsi="仿宋_GB2312" w:cs="仿宋_GB2312"/>
                <w:color w:val="auto"/>
                <w:sz w:val="24"/>
              </w:rPr>
            </w:pPr>
          </w:p>
        </w:tc>
        <w:tc>
          <w:tcPr>
            <w:tcW w:w="945" w:type="dxa"/>
            <w:noWrap w:val="0"/>
            <w:vAlign w:val="center"/>
          </w:tcPr>
          <w:p w14:paraId="7F5CB238">
            <w:pPr>
              <w:spacing w:line="360" w:lineRule="exact"/>
              <w:jc w:val="center"/>
              <w:rPr>
                <w:rFonts w:hint="eastAsia" w:ascii="仿宋_GB2312" w:hAnsi="仿宋_GB2312" w:cs="仿宋_GB2312"/>
                <w:color w:val="auto"/>
                <w:sz w:val="24"/>
              </w:rPr>
            </w:pPr>
          </w:p>
        </w:tc>
        <w:tc>
          <w:tcPr>
            <w:tcW w:w="720" w:type="dxa"/>
            <w:noWrap w:val="0"/>
            <w:vAlign w:val="center"/>
          </w:tcPr>
          <w:p w14:paraId="65A257EA">
            <w:pPr>
              <w:spacing w:line="360" w:lineRule="exact"/>
              <w:jc w:val="center"/>
              <w:rPr>
                <w:rFonts w:hint="eastAsia" w:ascii="仿宋_GB2312" w:hAnsi="仿宋_GB2312" w:cs="仿宋_GB2312"/>
                <w:color w:val="auto"/>
                <w:sz w:val="24"/>
              </w:rPr>
            </w:pPr>
          </w:p>
        </w:tc>
      </w:tr>
      <w:tr w14:paraId="58DEB6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226" w:type="dxa"/>
            <w:vMerge w:val="continue"/>
            <w:noWrap w:val="0"/>
            <w:vAlign w:val="center"/>
          </w:tcPr>
          <w:p w14:paraId="7B26F686">
            <w:pPr>
              <w:spacing w:line="360" w:lineRule="exact"/>
              <w:rPr>
                <w:rFonts w:hint="eastAsia" w:ascii="仿宋_GB2312" w:hAnsi="仿宋_GB2312" w:cs="仿宋_GB2312"/>
                <w:color w:val="auto"/>
                <w:sz w:val="24"/>
                <w:lang w:val="en-US" w:eastAsia="zh-CN"/>
              </w:rPr>
            </w:pPr>
          </w:p>
        </w:tc>
        <w:tc>
          <w:tcPr>
            <w:tcW w:w="5462" w:type="dxa"/>
            <w:noWrap w:val="0"/>
            <w:vAlign w:val="center"/>
          </w:tcPr>
          <w:p w14:paraId="3C686AF7">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食品销售连锁企业总部和餐饮服务连锁企业总部有对中央厨房、配送中心、门店选址及设备布局和工艺流程的要求。</w:t>
            </w:r>
          </w:p>
        </w:tc>
        <w:tc>
          <w:tcPr>
            <w:tcW w:w="523" w:type="dxa"/>
            <w:noWrap w:val="0"/>
            <w:vAlign w:val="center"/>
          </w:tcPr>
          <w:p w14:paraId="56A31B4B">
            <w:pPr>
              <w:spacing w:line="360" w:lineRule="exact"/>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4</w:t>
            </w:r>
          </w:p>
        </w:tc>
        <w:tc>
          <w:tcPr>
            <w:tcW w:w="763" w:type="dxa"/>
            <w:noWrap w:val="0"/>
            <w:vAlign w:val="center"/>
          </w:tcPr>
          <w:p w14:paraId="3F84A80B">
            <w:pPr>
              <w:spacing w:line="360" w:lineRule="exact"/>
              <w:jc w:val="center"/>
              <w:rPr>
                <w:rFonts w:hint="eastAsia" w:ascii="仿宋_GB2312" w:hAnsi="仿宋_GB2312" w:cs="仿宋_GB2312"/>
                <w:color w:val="auto"/>
                <w:sz w:val="24"/>
              </w:rPr>
            </w:pPr>
          </w:p>
        </w:tc>
        <w:tc>
          <w:tcPr>
            <w:tcW w:w="945" w:type="dxa"/>
            <w:noWrap w:val="0"/>
            <w:vAlign w:val="center"/>
          </w:tcPr>
          <w:p w14:paraId="0D2AFF3F">
            <w:pPr>
              <w:spacing w:line="360" w:lineRule="exact"/>
              <w:jc w:val="center"/>
              <w:rPr>
                <w:rFonts w:hint="eastAsia" w:ascii="仿宋_GB2312" w:hAnsi="仿宋_GB2312" w:cs="仿宋_GB2312"/>
                <w:color w:val="auto"/>
                <w:sz w:val="24"/>
              </w:rPr>
            </w:pPr>
          </w:p>
        </w:tc>
        <w:tc>
          <w:tcPr>
            <w:tcW w:w="720" w:type="dxa"/>
            <w:noWrap w:val="0"/>
            <w:vAlign w:val="center"/>
          </w:tcPr>
          <w:p w14:paraId="7D6C8452">
            <w:pPr>
              <w:spacing w:line="360" w:lineRule="exact"/>
              <w:jc w:val="center"/>
              <w:rPr>
                <w:rFonts w:hint="eastAsia" w:ascii="仿宋_GB2312" w:hAnsi="仿宋_GB2312" w:cs="仿宋_GB2312"/>
                <w:color w:val="auto"/>
                <w:sz w:val="24"/>
              </w:rPr>
            </w:pPr>
          </w:p>
        </w:tc>
      </w:tr>
      <w:tr w14:paraId="4335ED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1226" w:type="dxa"/>
            <w:vMerge w:val="continue"/>
            <w:noWrap w:val="0"/>
            <w:vAlign w:val="center"/>
          </w:tcPr>
          <w:p w14:paraId="3D10F872">
            <w:pPr>
              <w:spacing w:line="360" w:lineRule="exact"/>
              <w:rPr>
                <w:rFonts w:hint="eastAsia" w:ascii="仿宋_GB2312" w:hAnsi="仿宋_GB2312" w:cs="仿宋_GB2312"/>
                <w:color w:val="auto"/>
                <w:sz w:val="24"/>
                <w:lang w:val="en-US" w:eastAsia="zh-CN"/>
              </w:rPr>
            </w:pPr>
          </w:p>
        </w:tc>
        <w:tc>
          <w:tcPr>
            <w:tcW w:w="5462" w:type="dxa"/>
            <w:noWrap w:val="0"/>
            <w:vAlign w:val="center"/>
          </w:tcPr>
          <w:p w14:paraId="48D7C376">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有对中央厨房、配送中心、门店的设备或者设施要求，包括消毒、更衣、盥洗、采光、照明、通风、防腐、防尘、防蝇、防鼠、防虫、洗涤以及处理废水、存放垃圾和废弃物的设备或者设施要求等制度。</w:t>
            </w:r>
          </w:p>
        </w:tc>
        <w:tc>
          <w:tcPr>
            <w:tcW w:w="523" w:type="dxa"/>
            <w:noWrap w:val="0"/>
            <w:vAlign w:val="center"/>
          </w:tcPr>
          <w:p w14:paraId="1AAD126A">
            <w:pPr>
              <w:spacing w:line="360" w:lineRule="exact"/>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5</w:t>
            </w:r>
          </w:p>
        </w:tc>
        <w:tc>
          <w:tcPr>
            <w:tcW w:w="763" w:type="dxa"/>
            <w:noWrap w:val="0"/>
            <w:vAlign w:val="center"/>
          </w:tcPr>
          <w:p w14:paraId="3AD9EBCD">
            <w:pPr>
              <w:spacing w:line="360" w:lineRule="exact"/>
              <w:jc w:val="center"/>
              <w:rPr>
                <w:rFonts w:hint="eastAsia" w:ascii="仿宋_GB2312" w:hAnsi="仿宋_GB2312" w:cs="仿宋_GB2312"/>
                <w:color w:val="auto"/>
                <w:sz w:val="24"/>
              </w:rPr>
            </w:pPr>
          </w:p>
        </w:tc>
        <w:tc>
          <w:tcPr>
            <w:tcW w:w="945" w:type="dxa"/>
            <w:noWrap w:val="0"/>
            <w:vAlign w:val="center"/>
          </w:tcPr>
          <w:p w14:paraId="6E07BFF8">
            <w:pPr>
              <w:spacing w:line="360" w:lineRule="exact"/>
              <w:jc w:val="center"/>
              <w:rPr>
                <w:rFonts w:hint="eastAsia" w:ascii="仿宋_GB2312" w:hAnsi="仿宋_GB2312" w:cs="仿宋_GB2312"/>
                <w:color w:val="auto"/>
                <w:sz w:val="24"/>
              </w:rPr>
            </w:pPr>
          </w:p>
        </w:tc>
        <w:tc>
          <w:tcPr>
            <w:tcW w:w="720" w:type="dxa"/>
            <w:noWrap w:val="0"/>
            <w:vAlign w:val="center"/>
          </w:tcPr>
          <w:p w14:paraId="550ADEEA">
            <w:pPr>
              <w:spacing w:line="360" w:lineRule="exact"/>
              <w:jc w:val="center"/>
              <w:rPr>
                <w:rFonts w:hint="eastAsia" w:ascii="仿宋_GB2312" w:hAnsi="仿宋_GB2312" w:cs="仿宋_GB2312"/>
                <w:color w:val="auto"/>
                <w:sz w:val="24"/>
              </w:rPr>
            </w:pPr>
          </w:p>
        </w:tc>
      </w:tr>
      <w:tr w14:paraId="429958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1226" w:type="dxa"/>
            <w:vMerge w:val="continue"/>
            <w:noWrap w:val="0"/>
            <w:vAlign w:val="center"/>
          </w:tcPr>
          <w:p w14:paraId="321DD041">
            <w:pPr>
              <w:spacing w:line="360" w:lineRule="exact"/>
              <w:rPr>
                <w:rFonts w:hint="eastAsia" w:ascii="仿宋_GB2312" w:hAnsi="仿宋_GB2312" w:cs="仿宋_GB2312"/>
                <w:color w:val="auto"/>
                <w:sz w:val="24"/>
                <w:lang w:val="en-US" w:eastAsia="zh-CN"/>
              </w:rPr>
            </w:pPr>
          </w:p>
        </w:tc>
        <w:tc>
          <w:tcPr>
            <w:tcW w:w="5462" w:type="dxa"/>
            <w:noWrap w:val="0"/>
            <w:vAlign w:val="center"/>
          </w:tcPr>
          <w:p w14:paraId="790C6F75">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餐饮服务管理企业设立与食品经营相关的分公司的，应具有对分公司统一的人员管理、食品安全管理等制度，确保分公司具有与其经营规模相适应数量的人员以及食品安全管理能力。</w:t>
            </w:r>
          </w:p>
        </w:tc>
        <w:tc>
          <w:tcPr>
            <w:tcW w:w="523" w:type="dxa"/>
            <w:noWrap w:val="0"/>
            <w:vAlign w:val="center"/>
          </w:tcPr>
          <w:p w14:paraId="00B800BC">
            <w:pPr>
              <w:spacing w:line="360" w:lineRule="exact"/>
              <w:jc w:val="center"/>
              <w:rPr>
                <w:rFonts w:hint="default"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6</w:t>
            </w:r>
          </w:p>
        </w:tc>
        <w:tc>
          <w:tcPr>
            <w:tcW w:w="763" w:type="dxa"/>
            <w:noWrap w:val="0"/>
            <w:vAlign w:val="center"/>
          </w:tcPr>
          <w:p w14:paraId="65FCBCFD">
            <w:pPr>
              <w:spacing w:line="360" w:lineRule="exact"/>
              <w:jc w:val="center"/>
              <w:rPr>
                <w:rFonts w:hint="eastAsia" w:ascii="仿宋_GB2312" w:hAnsi="仿宋_GB2312" w:cs="仿宋_GB2312"/>
                <w:color w:val="auto"/>
                <w:sz w:val="24"/>
              </w:rPr>
            </w:pPr>
          </w:p>
        </w:tc>
        <w:tc>
          <w:tcPr>
            <w:tcW w:w="945" w:type="dxa"/>
            <w:noWrap w:val="0"/>
            <w:vAlign w:val="center"/>
          </w:tcPr>
          <w:p w14:paraId="49566AF8">
            <w:pPr>
              <w:spacing w:line="360" w:lineRule="exact"/>
              <w:jc w:val="center"/>
              <w:rPr>
                <w:rFonts w:hint="eastAsia" w:ascii="仿宋_GB2312" w:hAnsi="仿宋_GB2312" w:cs="仿宋_GB2312"/>
                <w:color w:val="auto"/>
                <w:sz w:val="24"/>
              </w:rPr>
            </w:pPr>
          </w:p>
        </w:tc>
        <w:tc>
          <w:tcPr>
            <w:tcW w:w="720" w:type="dxa"/>
            <w:noWrap w:val="0"/>
            <w:vAlign w:val="center"/>
          </w:tcPr>
          <w:p w14:paraId="3E5E05EA">
            <w:pPr>
              <w:spacing w:line="360" w:lineRule="exact"/>
              <w:jc w:val="center"/>
              <w:rPr>
                <w:rFonts w:hint="eastAsia" w:ascii="仿宋_GB2312" w:hAnsi="仿宋_GB2312" w:cs="仿宋_GB2312"/>
                <w:color w:val="auto"/>
                <w:sz w:val="24"/>
              </w:rPr>
            </w:pPr>
          </w:p>
        </w:tc>
      </w:tr>
      <w:tr w14:paraId="386888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1226" w:type="dxa"/>
            <w:vMerge w:val="continue"/>
            <w:noWrap w:val="0"/>
            <w:vAlign w:val="center"/>
          </w:tcPr>
          <w:p w14:paraId="0C27E7BD">
            <w:pPr>
              <w:spacing w:line="360" w:lineRule="exact"/>
              <w:rPr>
                <w:rFonts w:hint="eastAsia" w:ascii="仿宋_GB2312" w:hAnsi="仿宋_GB2312" w:cs="仿宋_GB2312"/>
                <w:color w:val="auto"/>
                <w:sz w:val="24"/>
                <w:lang w:val="en-US" w:eastAsia="zh-CN"/>
              </w:rPr>
            </w:pPr>
          </w:p>
        </w:tc>
        <w:tc>
          <w:tcPr>
            <w:tcW w:w="5462" w:type="dxa"/>
            <w:noWrap w:val="0"/>
            <w:vAlign w:val="center"/>
          </w:tcPr>
          <w:p w14:paraId="7EE377C5">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餐饮服务管理企业设立与食品经营相关的子公司、绝对控股其他企业的，应具有对子公司、绝对控股的其他企业的人员管理、食品安全管理、品牌管理等制度。</w:t>
            </w:r>
          </w:p>
        </w:tc>
        <w:tc>
          <w:tcPr>
            <w:tcW w:w="523" w:type="dxa"/>
            <w:noWrap w:val="0"/>
            <w:vAlign w:val="center"/>
          </w:tcPr>
          <w:p w14:paraId="2688F646">
            <w:pPr>
              <w:spacing w:line="360" w:lineRule="exact"/>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7</w:t>
            </w:r>
          </w:p>
        </w:tc>
        <w:tc>
          <w:tcPr>
            <w:tcW w:w="763" w:type="dxa"/>
            <w:noWrap w:val="0"/>
            <w:vAlign w:val="center"/>
          </w:tcPr>
          <w:p w14:paraId="3DE81C4B">
            <w:pPr>
              <w:spacing w:line="360" w:lineRule="exact"/>
              <w:jc w:val="center"/>
              <w:rPr>
                <w:rFonts w:hint="eastAsia" w:ascii="仿宋_GB2312" w:hAnsi="仿宋_GB2312" w:cs="仿宋_GB2312"/>
                <w:color w:val="auto"/>
                <w:sz w:val="24"/>
              </w:rPr>
            </w:pPr>
          </w:p>
        </w:tc>
        <w:tc>
          <w:tcPr>
            <w:tcW w:w="945" w:type="dxa"/>
            <w:noWrap w:val="0"/>
            <w:vAlign w:val="center"/>
          </w:tcPr>
          <w:p w14:paraId="40841C38">
            <w:pPr>
              <w:spacing w:line="360" w:lineRule="exact"/>
              <w:jc w:val="center"/>
              <w:rPr>
                <w:rFonts w:hint="eastAsia" w:ascii="仿宋_GB2312" w:hAnsi="仿宋_GB2312" w:cs="仿宋_GB2312"/>
                <w:color w:val="auto"/>
                <w:sz w:val="24"/>
              </w:rPr>
            </w:pPr>
          </w:p>
        </w:tc>
        <w:tc>
          <w:tcPr>
            <w:tcW w:w="720" w:type="dxa"/>
            <w:noWrap w:val="0"/>
            <w:vAlign w:val="center"/>
          </w:tcPr>
          <w:p w14:paraId="3EF72301">
            <w:pPr>
              <w:spacing w:line="360" w:lineRule="exact"/>
              <w:jc w:val="center"/>
              <w:rPr>
                <w:rFonts w:hint="eastAsia" w:ascii="仿宋_GB2312" w:hAnsi="仿宋_GB2312" w:cs="仿宋_GB2312"/>
                <w:color w:val="auto"/>
                <w:sz w:val="24"/>
              </w:rPr>
            </w:pPr>
          </w:p>
        </w:tc>
      </w:tr>
      <w:tr w14:paraId="19F18D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226" w:type="dxa"/>
            <w:noWrap w:val="0"/>
            <w:vAlign w:val="center"/>
          </w:tcPr>
          <w:p w14:paraId="74DABA15">
            <w:pPr>
              <w:spacing w:line="360" w:lineRule="exact"/>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3.仓库</w:t>
            </w:r>
          </w:p>
        </w:tc>
        <w:tc>
          <w:tcPr>
            <w:tcW w:w="5462" w:type="dxa"/>
            <w:noWrap w:val="0"/>
            <w:vAlign w:val="center"/>
          </w:tcPr>
          <w:p w14:paraId="6BD221EF">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食品销售连锁企业总部和餐饮服务连锁企业总部具有与配送食品品种和数量相适应的食品仓库。</w:t>
            </w:r>
          </w:p>
        </w:tc>
        <w:tc>
          <w:tcPr>
            <w:tcW w:w="523" w:type="dxa"/>
            <w:noWrap w:val="0"/>
            <w:vAlign w:val="center"/>
          </w:tcPr>
          <w:p w14:paraId="5F0615B8">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8</w:t>
            </w:r>
          </w:p>
        </w:tc>
        <w:tc>
          <w:tcPr>
            <w:tcW w:w="763" w:type="dxa"/>
            <w:noWrap w:val="0"/>
            <w:vAlign w:val="center"/>
          </w:tcPr>
          <w:p w14:paraId="1CF3D037">
            <w:pPr>
              <w:spacing w:line="360" w:lineRule="exact"/>
              <w:jc w:val="center"/>
              <w:rPr>
                <w:rFonts w:hint="eastAsia" w:ascii="仿宋_GB2312" w:hAnsi="仿宋_GB2312" w:cs="仿宋_GB2312"/>
                <w:color w:val="auto"/>
                <w:sz w:val="24"/>
              </w:rPr>
            </w:pPr>
          </w:p>
        </w:tc>
        <w:tc>
          <w:tcPr>
            <w:tcW w:w="945" w:type="dxa"/>
            <w:noWrap w:val="0"/>
            <w:vAlign w:val="center"/>
          </w:tcPr>
          <w:p w14:paraId="3E51F986">
            <w:pPr>
              <w:spacing w:line="360" w:lineRule="exact"/>
              <w:jc w:val="center"/>
              <w:rPr>
                <w:rFonts w:hint="eastAsia" w:ascii="仿宋_GB2312" w:hAnsi="仿宋_GB2312" w:cs="仿宋_GB2312"/>
                <w:color w:val="auto"/>
                <w:sz w:val="24"/>
              </w:rPr>
            </w:pPr>
          </w:p>
        </w:tc>
        <w:tc>
          <w:tcPr>
            <w:tcW w:w="720" w:type="dxa"/>
            <w:noWrap w:val="0"/>
            <w:vAlign w:val="center"/>
          </w:tcPr>
          <w:p w14:paraId="41CF38B0">
            <w:pPr>
              <w:spacing w:line="360" w:lineRule="exact"/>
              <w:jc w:val="center"/>
              <w:rPr>
                <w:rFonts w:hint="eastAsia" w:ascii="仿宋_GB2312" w:hAnsi="仿宋_GB2312" w:cs="仿宋_GB2312"/>
                <w:color w:val="auto"/>
                <w:sz w:val="24"/>
              </w:rPr>
            </w:pPr>
          </w:p>
        </w:tc>
      </w:tr>
      <w:tr w14:paraId="73D444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226" w:type="dxa"/>
            <w:noWrap w:val="0"/>
            <w:vAlign w:val="center"/>
          </w:tcPr>
          <w:p w14:paraId="3F693E08">
            <w:pPr>
              <w:spacing w:line="360" w:lineRule="exact"/>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4.设备设施</w:t>
            </w:r>
          </w:p>
        </w:tc>
        <w:tc>
          <w:tcPr>
            <w:tcW w:w="5462" w:type="dxa"/>
            <w:noWrap w:val="0"/>
            <w:vAlign w:val="center"/>
          </w:tcPr>
          <w:p w14:paraId="616B7069">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食品销售连锁企业总部和餐饮服务连锁企业总部具有与配送食品品种和数量相适应的运输工具和保温、冷藏（冻）等设备设施。</w:t>
            </w:r>
          </w:p>
        </w:tc>
        <w:tc>
          <w:tcPr>
            <w:tcW w:w="523" w:type="dxa"/>
            <w:noWrap w:val="0"/>
            <w:vAlign w:val="center"/>
          </w:tcPr>
          <w:p w14:paraId="2C50D414">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9</w:t>
            </w:r>
          </w:p>
        </w:tc>
        <w:tc>
          <w:tcPr>
            <w:tcW w:w="763" w:type="dxa"/>
            <w:noWrap w:val="0"/>
            <w:vAlign w:val="center"/>
          </w:tcPr>
          <w:p w14:paraId="4254516C">
            <w:pPr>
              <w:spacing w:line="360" w:lineRule="exact"/>
              <w:jc w:val="center"/>
              <w:rPr>
                <w:rFonts w:hint="eastAsia" w:ascii="仿宋_GB2312" w:hAnsi="仿宋_GB2312" w:cs="仿宋_GB2312"/>
                <w:color w:val="auto"/>
                <w:sz w:val="24"/>
              </w:rPr>
            </w:pPr>
          </w:p>
        </w:tc>
        <w:tc>
          <w:tcPr>
            <w:tcW w:w="945" w:type="dxa"/>
            <w:noWrap w:val="0"/>
            <w:vAlign w:val="center"/>
          </w:tcPr>
          <w:p w14:paraId="0006EA2E">
            <w:pPr>
              <w:spacing w:line="360" w:lineRule="exact"/>
              <w:jc w:val="center"/>
              <w:rPr>
                <w:rFonts w:hint="eastAsia" w:ascii="仿宋_GB2312" w:hAnsi="仿宋_GB2312" w:cs="仿宋_GB2312"/>
                <w:color w:val="auto"/>
                <w:sz w:val="24"/>
              </w:rPr>
            </w:pPr>
          </w:p>
        </w:tc>
        <w:tc>
          <w:tcPr>
            <w:tcW w:w="720" w:type="dxa"/>
            <w:noWrap w:val="0"/>
            <w:vAlign w:val="center"/>
          </w:tcPr>
          <w:p w14:paraId="4A7E76EA">
            <w:pPr>
              <w:spacing w:line="360" w:lineRule="exact"/>
              <w:jc w:val="center"/>
              <w:rPr>
                <w:rFonts w:hint="eastAsia" w:ascii="仿宋_GB2312" w:hAnsi="仿宋_GB2312" w:cs="仿宋_GB2312"/>
                <w:color w:val="auto"/>
                <w:sz w:val="24"/>
              </w:rPr>
            </w:pPr>
          </w:p>
        </w:tc>
      </w:tr>
      <w:tr w14:paraId="6559BA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1226" w:type="dxa"/>
            <w:noWrap w:val="0"/>
            <w:vAlign w:val="center"/>
          </w:tcPr>
          <w:p w14:paraId="0D3747E0">
            <w:pPr>
              <w:spacing w:line="360" w:lineRule="exact"/>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5.食品安全</w:t>
            </w:r>
            <w:r>
              <w:rPr>
                <w:rFonts w:hint="eastAsia" w:ascii="仿宋_GB2312" w:hAnsi="仿宋_GB2312" w:cs="仿宋_GB2312"/>
                <w:color w:val="auto"/>
                <w:sz w:val="24"/>
                <w:lang w:val="zh-CN"/>
              </w:rPr>
              <w:t>追溯体系</w:t>
            </w:r>
          </w:p>
        </w:tc>
        <w:tc>
          <w:tcPr>
            <w:tcW w:w="5462" w:type="dxa"/>
            <w:noWrap w:val="0"/>
            <w:vAlign w:val="center"/>
          </w:tcPr>
          <w:p w14:paraId="28F83BE2">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食品销售连锁企业总部和餐饮服务连锁企业总部建立食品采购、配送管理台账，内容包括：供货商信息、产品采购信息、配送点信息（名称、地址、联系方式以及配送食品的品种等）、配送清单（单位名称、配送对象、配送日期、品种、数量、生产日期或批号、发货人、收货人）等。</w:t>
            </w:r>
          </w:p>
        </w:tc>
        <w:tc>
          <w:tcPr>
            <w:tcW w:w="523" w:type="dxa"/>
            <w:noWrap w:val="0"/>
            <w:vAlign w:val="center"/>
          </w:tcPr>
          <w:p w14:paraId="0C540F70">
            <w:pPr>
              <w:spacing w:line="360" w:lineRule="exact"/>
              <w:jc w:val="center"/>
              <w:rPr>
                <w:rFonts w:hint="default"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10</w:t>
            </w:r>
          </w:p>
        </w:tc>
        <w:tc>
          <w:tcPr>
            <w:tcW w:w="763" w:type="dxa"/>
            <w:noWrap w:val="0"/>
            <w:vAlign w:val="center"/>
          </w:tcPr>
          <w:p w14:paraId="050A8163">
            <w:pPr>
              <w:spacing w:line="360" w:lineRule="exact"/>
              <w:jc w:val="center"/>
              <w:rPr>
                <w:rFonts w:hint="eastAsia" w:ascii="仿宋_GB2312" w:hAnsi="仿宋_GB2312" w:cs="仿宋_GB2312"/>
                <w:color w:val="auto"/>
                <w:sz w:val="24"/>
              </w:rPr>
            </w:pPr>
          </w:p>
        </w:tc>
        <w:tc>
          <w:tcPr>
            <w:tcW w:w="945" w:type="dxa"/>
            <w:noWrap w:val="0"/>
            <w:vAlign w:val="center"/>
          </w:tcPr>
          <w:p w14:paraId="3FABDD21">
            <w:pPr>
              <w:spacing w:line="360" w:lineRule="exact"/>
              <w:jc w:val="center"/>
              <w:rPr>
                <w:rFonts w:hint="eastAsia" w:ascii="仿宋_GB2312" w:hAnsi="仿宋_GB2312" w:cs="仿宋_GB2312"/>
                <w:color w:val="auto"/>
                <w:sz w:val="24"/>
              </w:rPr>
            </w:pPr>
          </w:p>
        </w:tc>
        <w:tc>
          <w:tcPr>
            <w:tcW w:w="720" w:type="dxa"/>
            <w:noWrap w:val="0"/>
            <w:vAlign w:val="center"/>
          </w:tcPr>
          <w:p w14:paraId="65FEFA9B">
            <w:pPr>
              <w:spacing w:line="360" w:lineRule="exact"/>
              <w:jc w:val="center"/>
              <w:rPr>
                <w:rFonts w:hint="eastAsia" w:ascii="仿宋_GB2312" w:hAnsi="仿宋_GB2312" w:cs="仿宋_GB2312"/>
                <w:color w:val="auto"/>
                <w:sz w:val="24"/>
              </w:rPr>
            </w:pPr>
          </w:p>
        </w:tc>
      </w:tr>
      <w:tr w14:paraId="25622B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1226" w:type="dxa"/>
            <w:noWrap w:val="0"/>
            <w:vAlign w:val="center"/>
          </w:tcPr>
          <w:p w14:paraId="44156EA8">
            <w:pPr>
              <w:spacing w:line="360" w:lineRule="exact"/>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6.食品销售、餐饮服务</w:t>
            </w:r>
          </w:p>
        </w:tc>
        <w:tc>
          <w:tcPr>
            <w:tcW w:w="5462" w:type="dxa"/>
            <w:noWrap w:val="0"/>
            <w:vAlign w:val="center"/>
          </w:tcPr>
          <w:p w14:paraId="68B917C5">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en-US" w:eastAsia="zh-CN"/>
              </w:rPr>
              <w:t>申请食品销售、餐饮服务经营项目的，应同时符合相应经营项目核查内容的规定。</w:t>
            </w:r>
          </w:p>
        </w:tc>
        <w:tc>
          <w:tcPr>
            <w:tcW w:w="523" w:type="dxa"/>
            <w:noWrap w:val="0"/>
            <w:vAlign w:val="center"/>
          </w:tcPr>
          <w:p w14:paraId="5B4E8C5E">
            <w:pPr>
              <w:spacing w:line="360" w:lineRule="exact"/>
              <w:jc w:val="center"/>
              <w:rPr>
                <w:rFonts w:hint="default" w:ascii="仿宋_GB2312" w:hAnsi="仿宋_GB2312" w:cs="仿宋_GB2312"/>
                <w:color w:val="auto"/>
                <w:sz w:val="24"/>
                <w:lang w:val="en-US" w:eastAsia="zh-CN"/>
              </w:rPr>
            </w:pPr>
            <w:r>
              <w:rPr>
                <w:rFonts w:hint="eastAsia" w:ascii="仿宋_GB2312" w:hAnsi="仿宋_GB2312" w:cs="仿宋_GB2312"/>
                <w:color w:val="auto"/>
                <w:sz w:val="24"/>
                <w:lang w:val="en-US" w:eastAsia="zh-CN"/>
              </w:rPr>
              <w:t>11</w:t>
            </w:r>
          </w:p>
        </w:tc>
        <w:tc>
          <w:tcPr>
            <w:tcW w:w="763" w:type="dxa"/>
            <w:noWrap w:val="0"/>
            <w:vAlign w:val="center"/>
          </w:tcPr>
          <w:p w14:paraId="2D4338AD">
            <w:pPr>
              <w:spacing w:line="360" w:lineRule="exact"/>
              <w:jc w:val="center"/>
              <w:rPr>
                <w:rFonts w:hint="eastAsia" w:ascii="仿宋_GB2312" w:hAnsi="仿宋_GB2312" w:cs="仿宋_GB2312"/>
                <w:color w:val="auto"/>
                <w:sz w:val="24"/>
              </w:rPr>
            </w:pPr>
          </w:p>
        </w:tc>
        <w:tc>
          <w:tcPr>
            <w:tcW w:w="945" w:type="dxa"/>
            <w:noWrap w:val="0"/>
            <w:vAlign w:val="center"/>
          </w:tcPr>
          <w:p w14:paraId="66BCB593">
            <w:pPr>
              <w:spacing w:line="360" w:lineRule="exact"/>
              <w:jc w:val="center"/>
              <w:rPr>
                <w:rFonts w:hint="eastAsia" w:ascii="仿宋_GB2312" w:hAnsi="仿宋_GB2312" w:cs="仿宋_GB2312"/>
                <w:color w:val="auto"/>
                <w:sz w:val="24"/>
              </w:rPr>
            </w:pPr>
          </w:p>
        </w:tc>
        <w:tc>
          <w:tcPr>
            <w:tcW w:w="720" w:type="dxa"/>
            <w:noWrap w:val="0"/>
            <w:vAlign w:val="center"/>
          </w:tcPr>
          <w:p w14:paraId="651FB9D0">
            <w:pPr>
              <w:spacing w:line="360" w:lineRule="exact"/>
              <w:jc w:val="center"/>
              <w:rPr>
                <w:rFonts w:hint="eastAsia" w:ascii="仿宋_GB2312" w:hAnsi="仿宋_GB2312" w:cs="仿宋_GB2312"/>
                <w:color w:val="auto"/>
                <w:sz w:val="24"/>
              </w:rPr>
            </w:pPr>
          </w:p>
        </w:tc>
      </w:tr>
    </w:tbl>
    <w:p w14:paraId="776D0107">
      <w:pPr>
        <w:pStyle w:val="4"/>
        <w:rPr>
          <w:color w:val="auto"/>
          <w:sz w:val="28"/>
          <w:szCs w:val="28"/>
        </w:rPr>
      </w:pPr>
    </w:p>
    <w:p w14:paraId="24DA2C1B">
      <w:pPr>
        <w:rPr>
          <w:rFonts w:hint="eastAsia"/>
        </w:rPr>
      </w:pPr>
    </w:p>
    <w:p w14:paraId="73488698">
      <w:pPr>
        <w:pStyle w:val="2"/>
        <w:rPr>
          <w:rFonts w:hint="eastAsia"/>
        </w:rPr>
      </w:pPr>
    </w:p>
    <w:p w14:paraId="2D5FD0FA">
      <w:pPr>
        <w:rPr>
          <w:rFonts w:hint="eastAsia"/>
        </w:rPr>
      </w:pPr>
    </w:p>
    <w:p w14:paraId="4F08A070">
      <w:pPr>
        <w:pStyle w:val="2"/>
        <w:rPr>
          <w:rFonts w:hint="eastAsia"/>
        </w:rPr>
      </w:pPr>
    </w:p>
    <w:p w14:paraId="5B40EFD1">
      <w:pPr>
        <w:rPr>
          <w:rFonts w:hint="eastAsia"/>
        </w:rPr>
      </w:pPr>
    </w:p>
    <w:p w14:paraId="3E531E56">
      <w:pPr>
        <w:pStyle w:val="2"/>
        <w:rPr>
          <w:rFonts w:hint="eastAsia"/>
        </w:rPr>
      </w:pPr>
    </w:p>
    <w:p w14:paraId="67691276">
      <w:pPr>
        <w:rPr>
          <w:rFonts w:hint="eastAsia"/>
        </w:rPr>
      </w:pPr>
    </w:p>
    <w:p w14:paraId="70B8F3D5">
      <w:pPr>
        <w:pStyle w:val="2"/>
        <w:rPr>
          <w:rFonts w:hint="eastAsia"/>
        </w:rPr>
      </w:pPr>
    </w:p>
    <w:p w14:paraId="188C72F0">
      <w:pPr>
        <w:rPr>
          <w:rFonts w:hint="eastAsia"/>
        </w:rPr>
      </w:pPr>
    </w:p>
    <w:p w14:paraId="50188F26">
      <w:pPr>
        <w:pStyle w:val="2"/>
        <w:rPr>
          <w:rFonts w:hint="eastAsia"/>
        </w:rPr>
      </w:pPr>
    </w:p>
    <w:p w14:paraId="3D5A28E0">
      <w:pPr>
        <w:rPr>
          <w:rFonts w:hint="eastAsia"/>
        </w:rPr>
      </w:pPr>
    </w:p>
    <w:p w14:paraId="51BCB229">
      <w:pPr>
        <w:spacing w:line="580" w:lineRule="exact"/>
        <w:jc w:val="center"/>
        <w:rPr>
          <w:rFonts w:hint="eastAsia" w:ascii="方正小标宋简体" w:hAnsi="华文中宋" w:eastAsia="方正小标宋简体"/>
          <w:color w:val="auto"/>
          <w:szCs w:val="32"/>
          <w:lang w:eastAsia="zh-CN"/>
        </w:rPr>
      </w:pPr>
      <w:r>
        <w:rPr>
          <w:rFonts w:hint="eastAsia" w:ascii="方正小标宋简体" w:hAnsi="华文中宋" w:eastAsia="方正小标宋简体"/>
          <w:color w:val="auto"/>
          <w:szCs w:val="32"/>
        </w:rPr>
        <w:t>第</w:t>
      </w:r>
      <w:r>
        <w:rPr>
          <w:rFonts w:hint="eastAsia" w:ascii="方正小标宋简体" w:hAnsi="华文中宋" w:eastAsia="方正小标宋简体"/>
          <w:color w:val="auto"/>
          <w:szCs w:val="32"/>
          <w:lang w:eastAsia="zh-CN"/>
        </w:rPr>
        <w:t>五</w:t>
      </w:r>
      <w:r>
        <w:rPr>
          <w:rFonts w:hint="eastAsia" w:ascii="方正小标宋简体" w:hAnsi="华文中宋" w:eastAsia="方正小标宋简体"/>
          <w:color w:val="auto"/>
          <w:szCs w:val="32"/>
        </w:rPr>
        <w:t>类</w:t>
      </w:r>
      <w:r>
        <w:rPr>
          <w:rFonts w:hint="eastAsia" w:ascii="方正小标宋简体" w:hAnsi="华文中宋" w:eastAsia="方正小标宋简体"/>
          <w:color w:val="auto"/>
          <w:szCs w:val="32"/>
          <w:lang w:val="en-US" w:eastAsia="zh-CN"/>
        </w:rPr>
        <w:t xml:space="preserve"> </w:t>
      </w:r>
      <w:r>
        <w:rPr>
          <w:rFonts w:hint="eastAsia" w:ascii="方正小标宋简体" w:hAnsi="华文中宋" w:eastAsia="方正小标宋简体"/>
          <w:color w:val="auto"/>
          <w:szCs w:val="32"/>
        </w:rPr>
        <w:t>食品经营许可现场核查</w:t>
      </w:r>
      <w:r>
        <w:rPr>
          <w:rFonts w:hint="eastAsia" w:ascii="方正小标宋简体" w:hAnsi="华文中宋" w:eastAsia="方正小标宋简体"/>
          <w:color w:val="auto"/>
          <w:szCs w:val="32"/>
          <w:lang w:eastAsia="zh-CN"/>
        </w:rPr>
        <w:t>内容</w:t>
      </w:r>
    </w:p>
    <w:p w14:paraId="41C28239">
      <w:pPr>
        <w:spacing w:line="580" w:lineRule="exact"/>
        <w:jc w:val="center"/>
        <w:rPr>
          <w:rFonts w:ascii="楷体" w:hAnsi="楷体" w:eastAsia="楷体"/>
          <w:b/>
          <w:color w:val="auto"/>
          <w:szCs w:val="32"/>
        </w:rPr>
      </w:pPr>
      <w:r>
        <w:rPr>
          <w:rFonts w:hint="eastAsia" w:ascii="楷体" w:hAnsi="楷体" w:eastAsia="楷体"/>
          <w:color w:val="auto"/>
          <w:szCs w:val="32"/>
        </w:rPr>
        <w:t>（适用于利用自动设备从事食品经营的经营者）</w:t>
      </w:r>
    </w:p>
    <w:p w14:paraId="78314A5B">
      <w:pPr>
        <w:snapToGrid w:val="0"/>
        <w:spacing w:line="300" w:lineRule="exact"/>
        <w:rPr>
          <w:rFonts w:hint="eastAsia" w:ascii="仿宋_GB2312" w:hAnsi="仿宋_GB2312" w:cs="仿宋_GB2312"/>
          <w:color w:val="auto"/>
          <w:sz w:val="24"/>
        </w:rPr>
      </w:pPr>
    </w:p>
    <w:p w14:paraId="193A7A97">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经营者名称：                              </w:t>
      </w:r>
      <w:r>
        <w:rPr>
          <w:rFonts w:hint="eastAsia" w:ascii="仿宋_GB2312" w:hAnsi="仿宋_GB2312" w:cs="仿宋_GB2312"/>
          <w:color w:val="auto"/>
          <w:sz w:val="24"/>
          <w:lang w:val="en-US" w:eastAsia="zh-CN"/>
        </w:rPr>
        <w:t xml:space="preserve"> </w:t>
      </w:r>
      <w:r>
        <w:rPr>
          <w:rFonts w:hint="eastAsia" w:ascii="仿宋_GB2312" w:hAnsi="仿宋_GB2312" w:cs="仿宋_GB2312"/>
          <w:color w:val="auto"/>
          <w:sz w:val="24"/>
        </w:rPr>
        <w:t xml:space="preserve"> 地    址：                              </w:t>
      </w:r>
    </w:p>
    <w:p w14:paraId="7614B523">
      <w:pPr>
        <w:snapToGrid w:val="0"/>
        <w:spacing w:line="300" w:lineRule="exact"/>
        <w:rPr>
          <w:rFonts w:hint="eastAsia" w:ascii="仿宋_GB2312" w:hAnsi="仿宋_GB2312" w:cs="仿宋_GB2312"/>
          <w:color w:val="auto"/>
          <w:sz w:val="24"/>
        </w:rPr>
      </w:pPr>
      <w:r>
        <w:rPr>
          <w:rFonts w:hint="eastAsia" w:ascii="仿宋_GB2312" w:hAnsi="仿宋_GB2312" w:cs="仿宋_GB2312"/>
          <w:color w:val="auto"/>
          <w:sz w:val="24"/>
        </w:rPr>
        <w:t xml:space="preserve">申请经营业态:                               申请经营项目：                         </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462"/>
        <w:gridCol w:w="523"/>
        <w:gridCol w:w="763"/>
        <w:gridCol w:w="945"/>
        <w:gridCol w:w="720"/>
      </w:tblGrid>
      <w:tr w14:paraId="56E051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26" w:type="dxa"/>
            <w:vMerge w:val="restart"/>
            <w:noWrap w:val="0"/>
            <w:vAlign w:val="center"/>
          </w:tcPr>
          <w:p w14:paraId="1A31A642">
            <w:pPr>
              <w:spacing w:line="360" w:lineRule="exact"/>
              <w:jc w:val="center"/>
              <w:rPr>
                <w:rFonts w:ascii="宋体" w:hAnsi="宋体" w:eastAsia="宋体"/>
                <w:b/>
                <w:color w:val="auto"/>
                <w:sz w:val="24"/>
              </w:rPr>
            </w:pPr>
            <w:r>
              <w:rPr>
                <w:rFonts w:hint="eastAsia" w:ascii="宋体" w:hAnsi="宋体" w:eastAsia="宋体"/>
                <w:b/>
                <w:color w:val="auto"/>
                <w:sz w:val="24"/>
              </w:rPr>
              <w:t>核查内容</w:t>
            </w:r>
          </w:p>
        </w:tc>
        <w:tc>
          <w:tcPr>
            <w:tcW w:w="5462" w:type="dxa"/>
            <w:vMerge w:val="restart"/>
            <w:noWrap w:val="0"/>
            <w:vAlign w:val="center"/>
          </w:tcPr>
          <w:p w14:paraId="28858066">
            <w:pPr>
              <w:spacing w:line="360" w:lineRule="exact"/>
              <w:jc w:val="center"/>
              <w:rPr>
                <w:rFonts w:ascii="宋体" w:hAnsi="宋体" w:eastAsia="宋体"/>
                <w:b/>
                <w:color w:val="auto"/>
                <w:sz w:val="24"/>
              </w:rPr>
            </w:pPr>
            <w:r>
              <w:rPr>
                <w:rFonts w:hint="eastAsia" w:ascii="宋体" w:hAnsi="宋体" w:eastAsia="宋体"/>
                <w:b/>
                <w:color w:val="auto"/>
                <w:sz w:val="24"/>
              </w:rPr>
              <w:t>核查和评价标准</w:t>
            </w:r>
          </w:p>
        </w:tc>
        <w:tc>
          <w:tcPr>
            <w:tcW w:w="523" w:type="dxa"/>
            <w:vMerge w:val="restart"/>
            <w:noWrap w:val="0"/>
            <w:vAlign w:val="center"/>
          </w:tcPr>
          <w:p w14:paraId="02A1CE1E">
            <w:pPr>
              <w:spacing w:line="360" w:lineRule="exact"/>
              <w:jc w:val="center"/>
              <w:rPr>
                <w:rFonts w:ascii="宋体" w:hAnsi="宋体" w:eastAsia="宋体"/>
                <w:b/>
                <w:color w:val="auto"/>
                <w:sz w:val="24"/>
              </w:rPr>
            </w:pPr>
            <w:r>
              <w:rPr>
                <w:rFonts w:hint="eastAsia" w:ascii="宋体" w:hAnsi="宋体" w:eastAsia="宋体"/>
                <w:b/>
                <w:color w:val="auto"/>
                <w:sz w:val="24"/>
                <w:lang w:eastAsia="zh-CN"/>
              </w:rPr>
              <w:t>序</w:t>
            </w:r>
            <w:r>
              <w:rPr>
                <w:rFonts w:hint="eastAsia" w:ascii="宋体" w:hAnsi="宋体" w:eastAsia="宋体"/>
                <w:b/>
                <w:color w:val="auto"/>
                <w:sz w:val="24"/>
              </w:rPr>
              <w:t>号</w:t>
            </w:r>
          </w:p>
        </w:tc>
        <w:tc>
          <w:tcPr>
            <w:tcW w:w="2428" w:type="dxa"/>
            <w:gridSpan w:val="3"/>
            <w:noWrap w:val="0"/>
            <w:vAlign w:val="center"/>
          </w:tcPr>
          <w:p w14:paraId="29D04779">
            <w:pPr>
              <w:spacing w:line="360" w:lineRule="exact"/>
              <w:jc w:val="center"/>
              <w:rPr>
                <w:rFonts w:ascii="宋体" w:hAnsi="宋体" w:eastAsia="宋体"/>
                <w:b/>
                <w:color w:val="auto"/>
                <w:sz w:val="24"/>
              </w:rPr>
            </w:pPr>
            <w:r>
              <w:rPr>
                <w:rFonts w:hint="eastAsia" w:ascii="宋体" w:hAnsi="宋体" w:eastAsia="宋体"/>
                <w:b/>
                <w:color w:val="auto"/>
                <w:sz w:val="24"/>
              </w:rPr>
              <w:t>结果判定</w:t>
            </w:r>
          </w:p>
        </w:tc>
      </w:tr>
      <w:tr w14:paraId="2DF8A7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26" w:type="dxa"/>
            <w:vMerge w:val="continue"/>
            <w:noWrap w:val="0"/>
            <w:vAlign w:val="center"/>
          </w:tcPr>
          <w:p w14:paraId="7E544D40">
            <w:pPr>
              <w:spacing w:line="360" w:lineRule="exact"/>
              <w:rPr>
                <w:rFonts w:ascii="宋体" w:hAnsi="宋体" w:eastAsia="宋体"/>
                <w:b/>
                <w:color w:val="auto"/>
                <w:sz w:val="24"/>
              </w:rPr>
            </w:pPr>
          </w:p>
        </w:tc>
        <w:tc>
          <w:tcPr>
            <w:tcW w:w="5462" w:type="dxa"/>
            <w:vMerge w:val="continue"/>
            <w:noWrap w:val="0"/>
            <w:vAlign w:val="center"/>
          </w:tcPr>
          <w:p w14:paraId="337B5300">
            <w:pPr>
              <w:spacing w:line="360" w:lineRule="exact"/>
              <w:rPr>
                <w:rFonts w:ascii="宋体" w:hAnsi="宋体" w:eastAsia="宋体"/>
                <w:b/>
                <w:color w:val="auto"/>
                <w:sz w:val="24"/>
              </w:rPr>
            </w:pPr>
          </w:p>
        </w:tc>
        <w:tc>
          <w:tcPr>
            <w:tcW w:w="523" w:type="dxa"/>
            <w:vMerge w:val="continue"/>
            <w:noWrap w:val="0"/>
            <w:vAlign w:val="center"/>
          </w:tcPr>
          <w:p w14:paraId="7B2D5649">
            <w:pPr>
              <w:spacing w:line="360" w:lineRule="exact"/>
              <w:jc w:val="center"/>
              <w:rPr>
                <w:rFonts w:ascii="宋体" w:hAnsi="宋体" w:eastAsia="宋体"/>
                <w:b/>
                <w:color w:val="auto"/>
                <w:sz w:val="24"/>
              </w:rPr>
            </w:pPr>
          </w:p>
        </w:tc>
        <w:tc>
          <w:tcPr>
            <w:tcW w:w="763" w:type="dxa"/>
            <w:noWrap w:val="0"/>
            <w:vAlign w:val="center"/>
          </w:tcPr>
          <w:p w14:paraId="16B8819A">
            <w:pPr>
              <w:spacing w:line="360" w:lineRule="exact"/>
              <w:jc w:val="center"/>
              <w:rPr>
                <w:rFonts w:ascii="宋体" w:hAnsi="宋体" w:eastAsia="宋体"/>
                <w:b/>
                <w:color w:val="auto"/>
                <w:sz w:val="24"/>
              </w:rPr>
            </w:pPr>
            <w:r>
              <w:rPr>
                <w:rFonts w:hint="eastAsia" w:ascii="宋体" w:hAnsi="宋体" w:eastAsia="宋体"/>
                <w:b/>
                <w:color w:val="auto"/>
                <w:sz w:val="24"/>
              </w:rPr>
              <w:t>符合</w:t>
            </w:r>
          </w:p>
        </w:tc>
        <w:tc>
          <w:tcPr>
            <w:tcW w:w="945" w:type="dxa"/>
            <w:noWrap w:val="0"/>
            <w:vAlign w:val="center"/>
          </w:tcPr>
          <w:p w14:paraId="681957DA">
            <w:pPr>
              <w:spacing w:line="360" w:lineRule="exact"/>
              <w:jc w:val="center"/>
              <w:rPr>
                <w:rFonts w:ascii="宋体" w:hAnsi="宋体" w:eastAsia="宋体"/>
                <w:b/>
                <w:color w:val="auto"/>
                <w:sz w:val="24"/>
              </w:rPr>
            </w:pPr>
            <w:r>
              <w:rPr>
                <w:rFonts w:hint="eastAsia" w:ascii="宋体" w:hAnsi="宋体" w:eastAsia="宋体"/>
                <w:b/>
                <w:color w:val="auto"/>
                <w:sz w:val="24"/>
              </w:rPr>
              <w:t>不符合</w:t>
            </w:r>
          </w:p>
        </w:tc>
        <w:tc>
          <w:tcPr>
            <w:tcW w:w="720" w:type="dxa"/>
            <w:noWrap w:val="0"/>
            <w:vAlign w:val="center"/>
          </w:tcPr>
          <w:p w14:paraId="5ED24D7D">
            <w:pPr>
              <w:spacing w:line="360" w:lineRule="exact"/>
              <w:rPr>
                <w:rFonts w:ascii="宋体" w:hAnsi="宋体" w:eastAsia="宋体"/>
                <w:b/>
                <w:color w:val="auto"/>
                <w:sz w:val="24"/>
              </w:rPr>
            </w:pPr>
            <w:r>
              <w:rPr>
                <w:rFonts w:hint="eastAsia" w:ascii="宋体" w:hAnsi="宋体" w:eastAsia="宋体"/>
                <w:b/>
                <w:color w:val="auto"/>
                <w:sz w:val="24"/>
              </w:rPr>
              <w:t>合理缺项</w:t>
            </w:r>
          </w:p>
        </w:tc>
      </w:tr>
      <w:tr w14:paraId="513FB0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5" w:hRule="atLeast"/>
          <w:jc w:val="center"/>
        </w:trPr>
        <w:tc>
          <w:tcPr>
            <w:tcW w:w="1226" w:type="dxa"/>
            <w:noWrap w:val="0"/>
            <w:vAlign w:val="center"/>
          </w:tcPr>
          <w:p w14:paraId="792C98A1">
            <w:pPr>
              <w:spacing w:line="360" w:lineRule="exact"/>
              <w:rPr>
                <w:rFonts w:ascii="仿宋_GB2312" w:hAnsi="仿宋_GB2312" w:cs="仿宋_GB2312"/>
                <w:color w:val="auto"/>
                <w:sz w:val="24"/>
              </w:rPr>
            </w:pPr>
            <w:r>
              <w:rPr>
                <w:rFonts w:hint="eastAsia" w:ascii="仿宋_GB2312" w:hAnsi="仿宋_GB2312" w:cs="仿宋_GB2312"/>
                <w:color w:val="auto"/>
                <w:sz w:val="24"/>
              </w:rPr>
              <w:t>1.管理制度</w:t>
            </w:r>
          </w:p>
        </w:tc>
        <w:tc>
          <w:tcPr>
            <w:tcW w:w="5462" w:type="dxa"/>
            <w:noWrap w:val="0"/>
            <w:vAlign w:val="center"/>
          </w:tcPr>
          <w:p w14:paraId="4E0B4D9C">
            <w:pPr>
              <w:spacing w:line="360" w:lineRule="exact"/>
              <w:rPr>
                <w:rFonts w:hint="eastAsia" w:ascii="仿宋_GB2312" w:hAnsi="仿宋_GB2312" w:cs="仿宋_GB2312"/>
                <w:color w:val="auto"/>
                <w:sz w:val="24"/>
                <w:lang w:val="zh-CN"/>
              </w:rPr>
            </w:pPr>
            <w:r>
              <w:rPr>
                <w:rFonts w:hint="eastAsia" w:ascii="仿宋_GB2312" w:hAnsi="仿宋_GB2312" w:cs="仿宋_GB2312"/>
                <w:color w:val="auto"/>
                <w:sz w:val="24"/>
                <w:lang w:val="zh-CN"/>
              </w:rPr>
              <w:t>经营者</w:t>
            </w:r>
            <w:r>
              <w:rPr>
                <w:rFonts w:hint="eastAsia" w:ascii="仿宋_GB2312" w:hAnsi="仿宋_GB2312" w:cs="仿宋_GB2312"/>
                <w:color w:val="auto"/>
                <w:sz w:val="24"/>
              </w:rPr>
              <w:t>有</w:t>
            </w:r>
            <w:r>
              <w:rPr>
                <w:rFonts w:hint="eastAsia" w:ascii="仿宋_GB2312" w:hAnsi="仿宋_GB2312" w:cs="仿宋_GB2312"/>
                <w:color w:val="auto"/>
                <w:sz w:val="24"/>
                <w:lang w:val="zh-CN"/>
              </w:rPr>
              <w:t>食品安全自查和巡查、进货查验记录、</w:t>
            </w:r>
            <w:r>
              <w:rPr>
                <w:rFonts w:hint="eastAsia" w:ascii="仿宋_GB2312" w:hAnsi="仿宋_GB2312" w:cs="仿宋_GB2312"/>
                <w:color w:val="auto"/>
                <w:sz w:val="24"/>
              </w:rPr>
              <w:t>食品安全追溯、</w:t>
            </w:r>
            <w:r>
              <w:rPr>
                <w:rFonts w:hint="eastAsia" w:ascii="仿宋_GB2312" w:hAnsi="仿宋_GB2312" w:cs="仿宋_GB2312"/>
                <w:color w:val="auto"/>
                <w:sz w:val="24"/>
                <w:lang w:val="zh-CN"/>
              </w:rPr>
              <w:t>设备投放场所及设备设施清洗清毒和维修保养、食品及食品原辅料贮存和清洗、变质或超过保质期处置、从业人员健康管理、食品安全事故处置方案以及食品安全风险管控方案等制度文本。经营者为企业的，还应</w:t>
            </w:r>
            <w:r>
              <w:rPr>
                <w:rFonts w:hint="eastAsia" w:ascii="仿宋_GB2312" w:hAnsi="仿宋_GB2312" w:cs="仿宋_GB2312"/>
                <w:color w:val="auto"/>
                <w:sz w:val="24"/>
              </w:rPr>
              <w:t>有日管控、周排查、月调度制度等制度。</w:t>
            </w:r>
          </w:p>
        </w:tc>
        <w:tc>
          <w:tcPr>
            <w:tcW w:w="523" w:type="dxa"/>
            <w:noWrap w:val="0"/>
            <w:vAlign w:val="center"/>
          </w:tcPr>
          <w:p w14:paraId="1E114F07">
            <w:pPr>
              <w:spacing w:line="360" w:lineRule="exact"/>
              <w:jc w:val="center"/>
              <w:rPr>
                <w:rFonts w:ascii="仿宋_GB2312" w:hAnsi="仿宋_GB2312" w:cs="仿宋_GB2312"/>
                <w:color w:val="auto"/>
                <w:sz w:val="24"/>
              </w:rPr>
            </w:pPr>
            <w:r>
              <w:rPr>
                <w:rFonts w:hint="eastAsia" w:ascii="仿宋_GB2312" w:hAnsi="仿宋_GB2312" w:cs="仿宋_GB2312"/>
                <w:color w:val="auto"/>
                <w:sz w:val="24"/>
              </w:rPr>
              <w:t>1</w:t>
            </w:r>
          </w:p>
        </w:tc>
        <w:tc>
          <w:tcPr>
            <w:tcW w:w="763" w:type="dxa"/>
            <w:noWrap w:val="0"/>
            <w:vAlign w:val="center"/>
          </w:tcPr>
          <w:p w14:paraId="0AD725F5">
            <w:pPr>
              <w:spacing w:line="360" w:lineRule="exact"/>
              <w:jc w:val="center"/>
              <w:rPr>
                <w:rFonts w:hint="eastAsia" w:ascii="仿宋_GB2312" w:hAnsi="仿宋_GB2312" w:cs="仿宋_GB2312"/>
                <w:color w:val="auto"/>
                <w:sz w:val="24"/>
              </w:rPr>
            </w:pPr>
          </w:p>
        </w:tc>
        <w:tc>
          <w:tcPr>
            <w:tcW w:w="945" w:type="dxa"/>
            <w:noWrap w:val="0"/>
            <w:vAlign w:val="center"/>
          </w:tcPr>
          <w:p w14:paraId="2C2E26E5">
            <w:pPr>
              <w:spacing w:line="360" w:lineRule="exact"/>
              <w:jc w:val="center"/>
              <w:rPr>
                <w:rFonts w:hint="eastAsia" w:ascii="仿宋_GB2312" w:hAnsi="仿宋_GB2312" w:cs="仿宋_GB2312"/>
                <w:color w:val="auto"/>
                <w:sz w:val="24"/>
              </w:rPr>
            </w:pPr>
          </w:p>
        </w:tc>
        <w:tc>
          <w:tcPr>
            <w:tcW w:w="720" w:type="dxa"/>
            <w:noWrap w:val="0"/>
            <w:vAlign w:val="center"/>
          </w:tcPr>
          <w:p w14:paraId="4A046A92">
            <w:pPr>
              <w:spacing w:line="360" w:lineRule="exact"/>
              <w:jc w:val="center"/>
              <w:rPr>
                <w:rFonts w:hint="eastAsia" w:ascii="仿宋_GB2312" w:hAnsi="仿宋_GB2312" w:cs="仿宋_GB2312"/>
                <w:color w:val="auto"/>
                <w:sz w:val="24"/>
              </w:rPr>
            </w:pPr>
          </w:p>
        </w:tc>
      </w:tr>
      <w:tr w14:paraId="349453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26" w:type="dxa"/>
            <w:vMerge w:val="restart"/>
            <w:noWrap w:val="0"/>
            <w:vAlign w:val="center"/>
          </w:tcPr>
          <w:p w14:paraId="29845C23">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2.设备功能</w:t>
            </w:r>
          </w:p>
        </w:tc>
        <w:tc>
          <w:tcPr>
            <w:tcW w:w="5462" w:type="dxa"/>
            <w:noWrap w:val="0"/>
            <w:vAlign w:val="center"/>
          </w:tcPr>
          <w:p w14:paraId="4781CDD8">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设备与提交的设备产品合格证明所述一致。直接接触食品及原料的材质符合食品安全国家标准</w:t>
            </w:r>
            <w:r>
              <w:rPr>
                <w:rFonts w:hint="eastAsia" w:ascii="仿宋_GB2312" w:hAnsi="仿宋_GB2312" w:cs="仿宋_GB2312"/>
                <w:color w:val="auto"/>
                <w:sz w:val="24"/>
                <w:lang w:eastAsia="zh-CN"/>
              </w:rPr>
              <w:t>。</w:t>
            </w:r>
          </w:p>
        </w:tc>
        <w:tc>
          <w:tcPr>
            <w:tcW w:w="523" w:type="dxa"/>
            <w:noWrap w:val="0"/>
            <w:vAlign w:val="center"/>
          </w:tcPr>
          <w:p w14:paraId="3B438875">
            <w:pPr>
              <w:spacing w:line="360" w:lineRule="exact"/>
              <w:jc w:val="center"/>
              <w:rPr>
                <w:rFonts w:ascii="仿宋_GB2312" w:hAnsi="仿宋_GB2312" w:cs="仿宋_GB2312"/>
                <w:color w:val="auto"/>
                <w:sz w:val="24"/>
              </w:rPr>
            </w:pPr>
            <w:r>
              <w:rPr>
                <w:rFonts w:hint="eastAsia" w:ascii="仿宋_GB2312" w:hAnsi="仿宋_GB2312" w:cs="仿宋_GB2312"/>
                <w:color w:val="auto"/>
                <w:sz w:val="24"/>
              </w:rPr>
              <w:t>2</w:t>
            </w:r>
          </w:p>
        </w:tc>
        <w:tc>
          <w:tcPr>
            <w:tcW w:w="763" w:type="dxa"/>
            <w:noWrap w:val="0"/>
            <w:vAlign w:val="center"/>
          </w:tcPr>
          <w:p w14:paraId="7BE53469">
            <w:pPr>
              <w:spacing w:line="360" w:lineRule="exact"/>
              <w:jc w:val="center"/>
              <w:rPr>
                <w:rFonts w:hint="eastAsia" w:ascii="仿宋_GB2312" w:hAnsi="仿宋_GB2312" w:cs="仿宋_GB2312"/>
                <w:color w:val="auto"/>
                <w:sz w:val="24"/>
              </w:rPr>
            </w:pPr>
          </w:p>
        </w:tc>
        <w:tc>
          <w:tcPr>
            <w:tcW w:w="945" w:type="dxa"/>
            <w:noWrap w:val="0"/>
            <w:vAlign w:val="center"/>
          </w:tcPr>
          <w:p w14:paraId="30687D52">
            <w:pPr>
              <w:spacing w:line="360" w:lineRule="exact"/>
              <w:jc w:val="center"/>
              <w:rPr>
                <w:rFonts w:hint="eastAsia" w:ascii="仿宋_GB2312" w:hAnsi="仿宋_GB2312" w:cs="仿宋_GB2312"/>
                <w:color w:val="auto"/>
                <w:sz w:val="24"/>
              </w:rPr>
            </w:pPr>
          </w:p>
        </w:tc>
        <w:tc>
          <w:tcPr>
            <w:tcW w:w="720" w:type="dxa"/>
            <w:noWrap w:val="0"/>
            <w:vAlign w:val="center"/>
          </w:tcPr>
          <w:p w14:paraId="73FF1012">
            <w:pPr>
              <w:spacing w:line="360" w:lineRule="exact"/>
              <w:jc w:val="center"/>
              <w:rPr>
                <w:rFonts w:hint="eastAsia" w:ascii="仿宋_GB2312" w:hAnsi="仿宋_GB2312" w:cs="仿宋_GB2312"/>
                <w:color w:val="auto"/>
                <w:sz w:val="24"/>
              </w:rPr>
            </w:pPr>
          </w:p>
        </w:tc>
      </w:tr>
      <w:tr w14:paraId="1FC4DD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26" w:type="dxa"/>
            <w:vMerge w:val="continue"/>
            <w:noWrap w:val="0"/>
            <w:vAlign w:val="center"/>
          </w:tcPr>
          <w:p w14:paraId="21326BE8">
            <w:pPr>
              <w:spacing w:line="360" w:lineRule="exact"/>
              <w:rPr>
                <w:rFonts w:hint="eastAsia" w:ascii="仿宋_GB2312" w:hAnsi="仿宋_GB2312" w:cs="仿宋_GB2312"/>
                <w:color w:val="auto"/>
                <w:sz w:val="24"/>
              </w:rPr>
            </w:pPr>
          </w:p>
        </w:tc>
        <w:tc>
          <w:tcPr>
            <w:tcW w:w="5462" w:type="dxa"/>
            <w:noWrap w:val="0"/>
            <w:vAlign w:val="center"/>
          </w:tcPr>
          <w:p w14:paraId="7BC474EC">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设备密闭性应能有效防止鼠、蝇、蟑螂等有害生物侵入。</w:t>
            </w:r>
          </w:p>
        </w:tc>
        <w:tc>
          <w:tcPr>
            <w:tcW w:w="523" w:type="dxa"/>
            <w:noWrap w:val="0"/>
            <w:vAlign w:val="center"/>
          </w:tcPr>
          <w:p w14:paraId="36DF9BD6">
            <w:pPr>
              <w:spacing w:line="360" w:lineRule="exact"/>
              <w:jc w:val="center"/>
              <w:rPr>
                <w:rFonts w:ascii="仿宋_GB2312" w:hAnsi="仿宋_GB2312" w:cs="仿宋_GB2312"/>
                <w:color w:val="auto"/>
                <w:sz w:val="24"/>
              </w:rPr>
            </w:pPr>
            <w:r>
              <w:rPr>
                <w:rFonts w:hint="eastAsia" w:ascii="仿宋_GB2312" w:hAnsi="仿宋_GB2312" w:cs="仿宋_GB2312"/>
                <w:color w:val="auto"/>
                <w:sz w:val="24"/>
              </w:rPr>
              <w:t>3</w:t>
            </w:r>
          </w:p>
        </w:tc>
        <w:tc>
          <w:tcPr>
            <w:tcW w:w="763" w:type="dxa"/>
            <w:noWrap w:val="0"/>
            <w:vAlign w:val="center"/>
          </w:tcPr>
          <w:p w14:paraId="22BED7F6">
            <w:pPr>
              <w:spacing w:line="360" w:lineRule="exact"/>
              <w:jc w:val="center"/>
              <w:rPr>
                <w:rFonts w:hint="eastAsia" w:ascii="仿宋_GB2312" w:hAnsi="仿宋_GB2312" w:cs="仿宋_GB2312"/>
                <w:color w:val="auto"/>
                <w:sz w:val="24"/>
              </w:rPr>
            </w:pPr>
          </w:p>
        </w:tc>
        <w:tc>
          <w:tcPr>
            <w:tcW w:w="945" w:type="dxa"/>
            <w:noWrap w:val="0"/>
            <w:vAlign w:val="center"/>
          </w:tcPr>
          <w:p w14:paraId="5CB93F69">
            <w:pPr>
              <w:spacing w:line="360" w:lineRule="exact"/>
              <w:jc w:val="center"/>
              <w:rPr>
                <w:rFonts w:hint="eastAsia" w:ascii="仿宋_GB2312" w:hAnsi="仿宋_GB2312" w:cs="仿宋_GB2312"/>
                <w:color w:val="auto"/>
                <w:sz w:val="24"/>
              </w:rPr>
            </w:pPr>
          </w:p>
        </w:tc>
        <w:tc>
          <w:tcPr>
            <w:tcW w:w="720" w:type="dxa"/>
            <w:noWrap w:val="0"/>
            <w:vAlign w:val="center"/>
          </w:tcPr>
          <w:p w14:paraId="27262A49">
            <w:pPr>
              <w:spacing w:line="360" w:lineRule="exact"/>
              <w:jc w:val="center"/>
              <w:rPr>
                <w:rFonts w:hint="eastAsia" w:ascii="仿宋_GB2312" w:hAnsi="仿宋_GB2312" w:cs="仿宋_GB2312"/>
                <w:color w:val="auto"/>
                <w:sz w:val="24"/>
              </w:rPr>
            </w:pPr>
          </w:p>
        </w:tc>
      </w:tr>
      <w:tr w14:paraId="1B78ED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226" w:type="dxa"/>
            <w:vMerge w:val="continue"/>
            <w:noWrap w:val="0"/>
            <w:vAlign w:val="center"/>
          </w:tcPr>
          <w:p w14:paraId="1A29A857">
            <w:pPr>
              <w:spacing w:line="360" w:lineRule="exact"/>
              <w:rPr>
                <w:rFonts w:hint="eastAsia" w:ascii="仿宋_GB2312" w:hAnsi="仿宋_GB2312" w:cs="仿宋_GB2312"/>
                <w:color w:val="auto"/>
                <w:sz w:val="24"/>
              </w:rPr>
            </w:pPr>
          </w:p>
        </w:tc>
        <w:tc>
          <w:tcPr>
            <w:tcW w:w="5462" w:type="dxa"/>
            <w:noWrap w:val="0"/>
            <w:vAlign w:val="center"/>
          </w:tcPr>
          <w:p w14:paraId="3236DC0C">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设备具备经营食品所需的冷藏冷冻或者热藏功能条件，具有温度控制和监测设施。</w:t>
            </w:r>
          </w:p>
        </w:tc>
        <w:tc>
          <w:tcPr>
            <w:tcW w:w="523" w:type="dxa"/>
            <w:noWrap w:val="0"/>
            <w:vAlign w:val="center"/>
          </w:tcPr>
          <w:p w14:paraId="481048EC">
            <w:pPr>
              <w:spacing w:line="360" w:lineRule="exact"/>
              <w:jc w:val="center"/>
              <w:rPr>
                <w:rFonts w:ascii="仿宋_GB2312" w:hAnsi="仿宋_GB2312" w:cs="仿宋_GB2312"/>
                <w:color w:val="auto"/>
                <w:sz w:val="24"/>
              </w:rPr>
            </w:pPr>
            <w:r>
              <w:rPr>
                <w:rFonts w:hint="eastAsia" w:ascii="仿宋_GB2312" w:hAnsi="仿宋_GB2312" w:cs="仿宋_GB2312"/>
                <w:color w:val="auto"/>
                <w:sz w:val="24"/>
              </w:rPr>
              <w:t>4</w:t>
            </w:r>
          </w:p>
        </w:tc>
        <w:tc>
          <w:tcPr>
            <w:tcW w:w="763" w:type="dxa"/>
            <w:noWrap w:val="0"/>
            <w:vAlign w:val="center"/>
          </w:tcPr>
          <w:p w14:paraId="1DA4225A">
            <w:pPr>
              <w:spacing w:line="360" w:lineRule="exact"/>
              <w:jc w:val="center"/>
              <w:rPr>
                <w:rFonts w:hint="eastAsia" w:ascii="仿宋_GB2312" w:hAnsi="仿宋_GB2312" w:cs="仿宋_GB2312"/>
                <w:color w:val="auto"/>
                <w:sz w:val="24"/>
              </w:rPr>
            </w:pPr>
          </w:p>
        </w:tc>
        <w:tc>
          <w:tcPr>
            <w:tcW w:w="945" w:type="dxa"/>
            <w:noWrap w:val="0"/>
            <w:vAlign w:val="center"/>
          </w:tcPr>
          <w:p w14:paraId="6F813CCF">
            <w:pPr>
              <w:spacing w:line="360" w:lineRule="exact"/>
              <w:jc w:val="center"/>
              <w:rPr>
                <w:rFonts w:hint="eastAsia" w:ascii="仿宋_GB2312" w:hAnsi="仿宋_GB2312" w:cs="仿宋_GB2312"/>
                <w:color w:val="auto"/>
                <w:sz w:val="24"/>
              </w:rPr>
            </w:pPr>
          </w:p>
        </w:tc>
        <w:tc>
          <w:tcPr>
            <w:tcW w:w="720" w:type="dxa"/>
            <w:noWrap w:val="0"/>
            <w:vAlign w:val="center"/>
          </w:tcPr>
          <w:p w14:paraId="23A77AEF">
            <w:pPr>
              <w:spacing w:line="360" w:lineRule="exact"/>
              <w:jc w:val="center"/>
              <w:rPr>
                <w:rFonts w:hint="eastAsia" w:ascii="仿宋_GB2312" w:hAnsi="仿宋_GB2312" w:cs="仿宋_GB2312"/>
                <w:color w:val="auto"/>
                <w:sz w:val="24"/>
              </w:rPr>
            </w:pPr>
          </w:p>
        </w:tc>
      </w:tr>
      <w:tr w14:paraId="06F9D4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226" w:type="dxa"/>
            <w:vMerge w:val="continue"/>
            <w:noWrap w:val="0"/>
            <w:vAlign w:val="center"/>
          </w:tcPr>
          <w:p w14:paraId="67ED053A">
            <w:pPr>
              <w:spacing w:line="360" w:lineRule="exact"/>
              <w:rPr>
                <w:rFonts w:hint="eastAsia" w:ascii="仿宋_GB2312" w:hAnsi="仿宋_GB2312" w:cs="仿宋_GB2312"/>
                <w:color w:val="auto"/>
                <w:sz w:val="24"/>
              </w:rPr>
            </w:pPr>
          </w:p>
        </w:tc>
        <w:tc>
          <w:tcPr>
            <w:tcW w:w="5462" w:type="dxa"/>
            <w:noWrap w:val="0"/>
            <w:vAlign w:val="center"/>
          </w:tcPr>
          <w:p w14:paraId="510143A0">
            <w:pPr>
              <w:spacing w:line="360" w:lineRule="exact"/>
              <w:rPr>
                <w:rFonts w:hint="eastAsia" w:ascii="仿宋_GB2312" w:hAnsi="仿宋_GB2312" w:cs="仿宋_GB2312"/>
                <w:color w:val="auto"/>
                <w:sz w:val="24"/>
              </w:rPr>
            </w:pPr>
            <w:r>
              <w:rPr>
                <w:rFonts w:hint="eastAsia" w:ascii="仿宋_GB2312" w:hAnsi="仿宋_GB2312" w:cs="仿宋_GB2312"/>
                <w:color w:val="auto"/>
                <w:sz w:val="24"/>
              </w:rPr>
              <w:t>制售设备有清洁、消毒功能，能对食品原料及食品接触容器、管道及其他部位进行有效的清洗消毒。</w:t>
            </w:r>
          </w:p>
        </w:tc>
        <w:tc>
          <w:tcPr>
            <w:tcW w:w="523" w:type="dxa"/>
            <w:noWrap w:val="0"/>
            <w:vAlign w:val="center"/>
          </w:tcPr>
          <w:p w14:paraId="493B255A">
            <w:pPr>
              <w:spacing w:line="360" w:lineRule="exact"/>
              <w:jc w:val="center"/>
              <w:rPr>
                <w:rFonts w:ascii="仿宋_GB2312" w:hAnsi="仿宋_GB2312" w:cs="仿宋_GB2312"/>
                <w:color w:val="auto"/>
                <w:sz w:val="24"/>
              </w:rPr>
            </w:pPr>
            <w:r>
              <w:rPr>
                <w:rFonts w:hint="eastAsia" w:ascii="仿宋_GB2312" w:hAnsi="仿宋_GB2312" w:cs="仿宋_GB2312"/>
                <w:color w:val="auto"/>
                <w:sz w:val="24"/>
              </w:rPr>
              <w:t>5</w:t>
            </w:r>
          </w:p>
        </w:tc>
        <w:tc>
          <w:tcPr>
            <w:tcW w:w="763" w:type="dxa"/>
            <w:noWrap w:val="0"/>
            <w:vAlign w:val="center"/>
          </w:tcPr>
          <w:p w14:paraId="6D4EC564">
            <w:pPr>
              <w:spacing w:line="360" w:lineRule="exact"/>
              <w:jc w:val="center"/>
              <w:rPr>
                <w:rFonts w:hint="eastAsia" w:ascii="仿宋_GB2312" w:hAnsi="仿宋_GB2312" w:cs="仿宋_GB2312"/>
                <w:color w:val="auto"/>
                <w:sz w:val="24"/>
              </w:rPr>
            </w:pPr>
          </w:p>
        </w:tc>
        <w:tc>
          <w:tcPr>
            <w:tcW w:w="945" w:type="dxa"/>
            <w:noWrap w:val="0"/>
            <w:vAlign w:val="center"/>
          </w:tcPr>
          <w:p w14:paraId="32FD75D9">
            <w:pPr>
              <w:spacing w:line="360" w:lineRule="exact"/>
              <w:jc w:val="center"/>
              <w:rPr>
                <w:rFonts w:hint="eastAsia" w:ascii="仿宋_GB2312" w:hAnsi="仿宋_GB2312" w:cs="仿宋_GB2312"/>
                <w:color w:val="auto"/>
                <w:sz w:val="24"/>
              </w:rPr>
            </w:pPr>
          </w:p>
        </w:tc>
        <w:tc>
          <w:tcPr>
            <w:tcW w:w="720" w:type="dxa"/>
            <w:noWrap w:val="0"/>
            <w:vAlign w:val="center"/>
          </w:tcPr>
          <w:p w14:paraId="30827F40">
            <w:pPr>
              <w:spacing w:line="360" w:lineRule="exact"/>
              <w:jc w:val="center"/>
              <w:rPr>
                <w:rFonts w:hint="eastAsia" w:ascii="仿宋_GB2312" w:hAnsi="仿宋_GB2312" w:cs="仿宋_GB2312"/>
                <w:color w:val="auto"/>
                <w:sz w:val="24"/>
              </w:rPr>
            </w:pPr>
          </w:p>
        </w:tc>
      </w:tr>
      <w:tr w14:paraId="145F8B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226" w:type="dxa"/>
            <w:vMerge w:val="continue"/>
            <w:noWrap w:val="0"/>
            <w:vAlign w:val="center"/>
          </w:tcPr>
          <w:p w14:paraId="23FD6074">
            <w:pPr>
              <w:spacing w:line="360" w:lineRule="exact"/>
              <w:rPr>
                <w:rFonts w:hint="eastAsia" w:ascii="仿宋_GB2312" w:hAnsi="仿宋_GB2312" w:cs="仿宋_GB2312"/>
                <w:color w:val="auto"/>
                <w:sz w:val="24"/>
              </w:rPr>
            </w:pPr>
          </w:p>
        </w:tc>
        <w:tc>
          <w:tcPr>
            <w:tcW w:w="5462" w:type="dxa"/>
            <w:noWrap w:val="0"/>
            <w:vAlign w:val="center"/>
          </w:tcPr>
          <w:p w14:paraId="185B52CB">
            <w:pPr>
              <w:spacing w:line="360" w:lineRule="exact"/>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lang w:eastAsia="zh-CN"/>
              </w:rPr>
              <w:t>能提供以上功能的验证报告。</w:t>
            </w:r>
          </w:p>
        </w:tc>
        <w:tc>
          <w:tcPr>
            <w:tcW w:w="523" w:type="dxa"/>
            <w:noWrap w:val="0"/>
            <w:vAlign w:val="center"/>
          </w:tcPr>
          <w:p w14:paraId="1EE12432">
            <w:pPr>
              <w:spacing w:line="360" w:lineRule="exact"/>
              <w:jc w:val="center"/>
              <w:rPr>
                <w:rFonts w:hint="eastAsia"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6</w:t>
            </w:r>
          </w:p>
        </w:tc>
        <w:tc>
          <w:tcPr>
            <w:tcW w:w="763" w:type="dxa"/>
            <w:noWrap w:val="0"/>
            <w:vAlign w:val="center"/>
          </w:tcPr>
          <w:p w14:paraId="71A156B4">
            <w:pPr>
              <w:spacing w:line="360" w:lineRule="exact"/>
              <w:jc w:val="center"/>
              <w:rPr>
                <w:rFonts w:hint="eastAsia" w:ascii="仿宋_GB2312" w:hAnsi="仿宋_GB2312" w:cs="仿宋_GB2312"/>
                <w:color w:val="auto"/>
                <w:sz w:val="24"/>
              </w:rPr>
            </w:pPr>
          </w:p>
        </w:tc>
        <w:tc>
          <w:tcPr>
            <w:tcW w:w="945" w:type="dxa"/>
            <w:noWrap w:val="0"/>
            <w:vAlign w:val="center"/>
          </w:tcPr>
          <w:p w14:paraId="00D6318E">
            <w:pPr>
              <w:spacing w:line="360" w:lineRule="exact"/>
              <w:jc w:val="center"/>
              <w:rPr>
                <w:rFonts w:hint="eastAsia" w:ascii="仿宋_GB2312" w:hAnsi="仿宋_GB2312" w:cs="仿宋_GB2312"/>
                <w:color w:val="auto"/>
                <w:sz w:val="24"/>
              </w:rPr>
            </w:pPr>
          </w:p>
        </w:tc>
        <w:tc>
          <w:tcPr>
            <w:tcW w:w="720" w:type="dxa"/>
            <w:noWrap w:val="0"/>
            <w:vAlign w:val="center"/>
          </w:tcPr>
          <w:p w14:paraId="4EB5D67C">
            <w:pPr>
              <w:spacing w:line="360" w:lineRule="exact"/>
              <w:jc w:val="center"/>
              <w:rPr>
                <w:rFonts w:hint="eastAsia" w:ascii="仿宋_GB2312" w:hAnsi="仿宋_GB2312" w:cs="仿宋_GB2312"/>
                <w:color w:val="auto"/>
                <w:sz w:val="24"/>
              </w:rPr>
            </w:pPr>
          </w:p>
        </w:tc>
      </w:tr>
    </w:tbl>
    <w:p w14:paraId="7C978E39">
      <w:pPr>
        <w:rPr>
          <w:rFonts w:hint="eastAsia" w:eastAsia="仿宋"/>
          <w:kern w:val="0"/>
          <w:szCs w:val="32"/>
        </w:rPr>
      </w:pPr>
    </w:p>
    <w:p w14:paraId="5FACC333">
      <w:pPr>
        <w:pStyle w:val="4"/>
        <w:rPr>
          <w:rFonts w:hint="eastAsia"/>
        </w:rPr>
      </w:pPr>
    </w:p>
    <w:p w14:paraId="04EF4932">
      <w:pPr>
        <w:pStyle w:val="2"/>
        <w:rPr>
          <w:rFonts w:hint="default"/>
          <w:lang w:val="en-US" w:eastAsia="zh-CN"/>
        </w:rPr>
      </w:pPr>
    </w:p>
    <w:p w14:paraId="47230C9F">
      <w:pPr>
        <w:rPr>
          <w:rFonts w:hint="eastAsia"/>
          <w:lang w:eastAsia="zh-CN"/>
        </w:rPr>
      </w:pPr>
    </w:p>
    <w:p w14:paraId="0775BDF6"/>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6424C"/>
    <w:multiLevelType w:val="singleLevel"/>
    <w:tmpl w:val="EA76424C"/>
    <w:lvl w:ilvl="0" w:tentative="0">
      <w:start w:val="1"/>
      <w:numFmt w:val="chineseCounting"/>
      <w:suff w:val="nothing"/>
      <w:lvlText w:val="（%1）"/>
      <w:lvlJc w:val="left"/>
      <w:rPr>
        <w:rFonts w:hint="eastAsia"/>
      </w:rPr>
    </w:lvl>
  </w:abstractNum>
  <w:abstractNum w:abstractNumId="1">
    <w:nsid w:val="EB5435A6"/>
    <w:multiLevelType w:val="singleLevel"/>
    <w:tmpl w:val="EB5435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2VkZWUwYjdkZDYzZGY2NmZiZGNiZGIyMjFjYWIifQ=="/>
  </w:docVars>
  <w:rsids>
    <w:rsidRoot w:val="2C02681F"/>
    <w:rsid w:val="2C02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line="600" w:lineRule="exact"/>
      <w:outlineLvl w:val="2"/>
    </w:pPr>
    <w:rPr>
      <w:rFonts w:ascii="Calibri" w:hAnsi="Calibri" w:eastAsia="楷体_GB2312"/>
      <w:b/>
      <w:sz w:val="3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rPr>
      <w:rFonts w:hint="eastAsia" w:ascii="Times New Roman" w:hAnsi="Times New Roman" w:eastAsia="宋体" w:cs="Times New Roman"/>
      <w:sz w:val="32"/>
      <w:szCs w:val="24"/>
    </w:rPr>
  </w:style>
  <w:style w:type="paragraph" w:customStyle="1" w:styleId="7">
    <w:name w:val="样式1"/>
    <w:basedOn w:val="1"/>
    <w:next w:val="4"/>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37</Pages>
  <Words>0</Words>
  <Characters>0</Characters>
  <Lines>0</Lines>
  <Paragraphs>0</Paragraphs>
  <TotalTime>0</TotalTime>
  <ScaleCrop>false</ScaleCrop>
  <LinksUpToDate>false</LinksUpToDate>
  <CharactersWithSpaces>0</CharactersWithSpaces>
  <Application>WPS Office_12.1.0.17813_F1E327BC-269C-435d-A152-05C5408002CA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2024-08-06T08:48:00Z</dcterms:created>
  <dc:creator>胡翌婧</dc:creator>
  <cp:lastModifiedBy>胡翌婧</cp:lastModifiedBy>
  <dcterms:modified xsi:type="dcterms:W3CDTF">2024-08-06T08:51:05Z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2052-12.1.0.17813</vt:lpwstr>
  </property>
  <property fmtid="{D5CDD505-2E9C-101B-9397-08002B2CF9AE}" pid="3" name="ICV">
    <vt:lpwstr>32405D753C5B479A9EB0700BD5E5FDFF_11</vt:lpwstr>
  </property>
</Properties>
</file>